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B246" w14:textId="4FDF6C15" w:rsidR="002B3376" w:rsidRPr="00A10663" w:rsidRDefault="000C4AB1" w:rsidP="00BD6C7D">
      <w:pPr>
        <w:spacing w:after="0" w:line="259" w:lineRule="auto"/>
        <w:jc w:val="left"/>
        <w:rPr>
          <w:b/>
          <w:sz w:val="28"/>
          <w:lang w:val="nl-NL"/>
        </w:rPr>
      </w:pPr>
      <w:r w:rsidRPr="00A10663">
        <w:rPr>
          <w:b/>
          <w:sz w:val="28"/>
          <w:lang w:val="nl-NL"/>
        </w:rPr>
        <w:t>Techni</w:t>
      </w:r>
      <w:r w:rsidR="00DE5C1C" w:rsidRPr="00A10663">
        <w:rPr>
          <w:b/>
          <w:sz w:val="28"/>
          <w:lang w:val="nl-NL"/>
        </w:rPr>
        <w:t>s</w:t>
      </w:r>
      <w:r w:rsidRPr="00A10663">
        <w:rPr>
          <w:b/>
          <w:sz w:val="28"/>
          <w:lang w:val="nl-NL"/>
        </w:rPr>
        <w:t>c</w:t>
      </w:r>
      <w:r w:rsidR="00DE5C1C" w:rsidRPr="00A10663">
        <w:rPr>
          <w:b/>
          <w:sz w:val="28"/>
          <w:lang w:val="nl-NL"/>
        </w:rPr>
        <w:t>he</w:t>
      </w:r>
      <w:r w:rsidRPr="00A10663">
        <w:rPr>
          <w:b/>
          <w:sz w:val="28"/>
          <w:lang w:val="nl-NL"/>
        </w:rPr>
        <w:t xml:space="preserve"> specificati</w:t>
      </w:r>
      <w:r w:rsidR="00DE5C1C" w:rsidRPr="00A10663">
        <w:rPr>
          <w:b/>
          <w:sz w:val="28"/>
          <w:lang w:val="nl-NL"/>
        </w:rPr>
        <w:t>e</w:t>
      </w:r>
      <w:r w:rsidRPr="00A10663">
        <w:rPr>
          <w:b/>
          <w:sz w:val="28"/>
          <w:lang w:val="nl-NL"/>
        </w:rPr>
        <w:t xml:space="preserve"> </w:t>
      </w:r>
      <w:r w:rsidR="00DE5C1C" w:rsidRPr="00A10663">
        <w:rPr>
          <w:b/>
          <w:sz w:val="28"/>
          <w:lang w:val="nl-NL"/>
        </w:rPr>
        <w:t>van de</w:t>
      </w:r>
      <w:r w:rsidRPr="00A10663">
        <w:rPr>
          <w:b/>
          <w:sz w:val="28"/>
          <w:lang w:val="nl-NL"/>
        </w:rPr>
        <w:t xml:space="preserve"> </w:t>
      </w:r>
      <w:r w:rsidR="00AD5571" w:rsidRPr="00A10663">
        <w:rPr>
          <w:b/>
          <w:sz w:val="28"/>
          <w:lang w:val="nl-NL"/>
        </w:rPr>
        <w:t xml:space="preserve">DNB </w:t>
      </w:r>
      <w:r w:rsidR="00223413" w:rsidRPr="00A10663">
        <w:rPr>
          <w:b/>
          <w:sz w:val="28"/>
          <w:lang w:val="nl-NL"/>
        </w:rPr>
        <w:t>impact analys</w:t>
      </w:r>
      <w:r w:rsidR="00DE5C1C" w:rsidRPr="00A10663">
        <w:rPr>
          <w:b/>
          <w:sz w:val="28"/>
          <w:lang w:val="nl-NL"/>
        </w:rPr>
        <w:t>e</w:t>
      </w:r>
      <w:r w:rsidR="00223413" w:rsidRPr="00A10663">
        <w:rPr>
          <w:b/>
          <w:sz w:val="28"/>
          <w:lang w:val="nl-NL"/>
        </w:rPr>
        <w:t xml:space="preserve"> </w:t>
      </w:r>
      <w:r w:rsidR="003975A3" w:rsidRPr="00A10663">
        <w:rPr>
          <w:b/>
          <w:sz w:val="28"/>
          <w:lang w:val="nl-NL"/>
        </w:rPr>
        <w:t xml:space="preserve">van de </w:t>
      </w:r>
      <w:r w:rsidR="0053197C" w:rsidRPr="00A10663">
        <w:rPr>
          <w:b/>
          <w:sz w:val="28"/>
          <w:lang w:val="nl-NL"/>
        </w:rPr>
        <w:t>Amend</w:t>
      </w:r>
      <w:r w:rsidR="003975A3" w:rsidRPr="00A10663">
        <w:rPr>
          <w:b/>
          <w:sz w:val="28"/>
          <w:lang w:val="nl-NL"/>
        </w:rPr>
        <w:t>erende Richtlijn</w:t>
      </w:r>
      <w:r w:rsidR="00DE5C1C" w:rsidRPr="00A10663">
        <w:rPr>
          <w:b/>
          <w:sz w:val="28"/>
          <w:lang w:val="nl-NL"/>
        </w:rPr>
        <w:t xml:space="preserve"> </w:t>
      </w:r>
      <w:r w:rsidR="00223413" w:rsidRPr="00A10663">
        <w:rPr>
          <w:b/>
          <w:sz w:val="28"/>
          <w:lang w:val="nl-NL"/>
        </w:rPr>
        <w:t>Solvency II</w:t>
      </w:r>
      <w:r w:rsidR="007701C8" w:rsidRPr="00A10663">
        <w:rPr>
          <w:b/>
          <w:sz w:val="28"/>
          <w:lang w:val="nl-NL"/>
        </w:rPr>
        <w:t>, versi</w:t>
      </w:r>
      <w:r w:rsidR="00354761" w:rsidRPr="00A10663">
        <w:rPr>
          <w:b/>
          <w:sz w:val="28"/>
          <w:lang w:val="nl-NL"/>
        </w:rPr>
        <w:t>e</w:t>
      </w:r>
      <w:r w:rsidR="007701C8" w:rsidRPr="00A10663">
        <w:rPr>
          <w:b/>
          <w:sz w:val="28"/>
          <w:lang w:val="nl-NL"/>
        </w:rPr>
        <w:t xml:space="preserve"> </w:t>
      </w:r>
      <w:r w:rsidR="001E63F4" w:rsidRPr="00A10663">
        <w:rPr>
          <w:b/>
          <w:sz w:val="28"/>
          <w:lang w:val="nl-NL"/>
        </w:rPr>
        <w:t>2</w:t>
      </w:r>
      <w:r w:rsidR="007701C8" w:rsidRPr="00A10663">
        <w:rPr>
          <w:b/>
          <w:sz w:val="28"/>
          <w:lang w:val="nl-NL"/>
        </w:rPr>
        <w:t>.0</w:t>
      </w:r>
      <w:r w:rsidRPr="00A10663">
        <w:rPr>
          <w:b/>
          <w:sz w:val="28"/>
          <w:lang w:val="nl-NL"/>
        </w:rPr>
        <w:t xml:space="preserve"> </w:t>
      </w:r>
    </w:p>
    <w:p w14:paraId="7BD5E7DC" w14:textId="77777777" w:rsidR="00F80914" w:rsidRPr="00A10663" w:rsidRDefault="00F80914" w:rsidP="00BD6C7D">
      <w:pPr>
        <w:spacing w:after="0" w:line="259" w:lineRule="auto"/>
        <w:jc w:val="left"/>
        <w:rPr>
          <w:b/>
          <w:sz w:val="28"/>
          <w:lang w:val="nl-NL"/>
        </w:rPr>
      </w:pPr>
    </w:p>
    <w:p w14:paraId="7FCC0557" w14:textId="77777777" w:rsidR="00D42A53" w:rsidRPr="00A10663" w:rsidRDefault="00D42A53" w:rsidP="00D42A53">
      <w:pPr>
        <w:spacing w:line="240" w:lineRule="auto"/>
        <w:rPr>
          <w:lang w:val="nl-NL"/>
        </w:rPr>
      </w:pPr>
    </w:p>
    <w:sdt>
      <w:sdtPr>
        <w:rPr>
          <w:b/>
          <w:bCs/>
          <w:noProof/>
        </w:rPr>
        <w:id w:val="1207144524"/>
        <w:docPartObj>
          <w:docPartGallery w:val="Table of Contents"/>
          <w:docPartUnique/>
        </w:docPartObj>
      </w:sdtPr>
      <w:sdtEndPr>
        <w:rPr>
          <w:rFonts w:eastAsia="Calibri" w:cs="Arial"/>
          <w:b w:val="0"/>
          <w:noProof w:val="0"/>
          <w:color w:val="auto"/>
          <w:kern w:val="0"/>
          <w:sz w:val="17"/>
          <w:szCs w:val="22"/>
          <w:lang w:val="nl-NL" w:eastAsia="en-US"/>
          <w14:ligatures w14:val="none"/>
        </w:rPr>
      </w:sdtEndPr>
      <w:sdtContent>
        <w:p w14:paraId="5E7C40AB" w14:textId="21E2B45A" w:rsidR="00E02859" w:rsidRPr="00A10663" w:rsidRDefault="00502E67" w:rsidP="00E02859">
          <w:pPr>
            <w:spacing w:line="240" w:lineRule="auto"/>
            <w:rPr>
              <w:rFonts w:eastAsia="Calibri" w:cs="Arial"/>
              <w:bCs/>
              <w:color w:val="auto"/>
              <w:kern w:val="0"/>
              <w:sz w:val="17"/>
              <w:szCs w:val="22"/>
              <w:lang w:val="nl-NL" w:eastAsia="en-US"/>
              <w14:ligatures w14:val="none"/>
            </w:rPr>
          </w:pPr>
        </w:p>
      </w:sdtContent>
    </w:sdt>
    <w:p w14:paraId="7F9C6EA1" w14:textId="77777777" w:rsidR="00AF2413" w:rsidRPr="00A10663" w:rsidRDefault="00AF2413">
      <w:pPr>
        <w:pStyle w:val="TOCHeading"/>
        <w:rPr>
          <w:rFonts w:ascii="Verdana" w:hAnsi="Verdana"/>
          <w:color w:val="auto"/>
        </w:rPr>
      </w:pPr>
      <w:r w:rsidRPr="00A10663">
        <w:rPr>
          <w:rFonts w:ascii="Verdana" w:hAnsi="Verdana"/>
          <w:color w:val="auto"/>
        </w:rPr>
        <w:t>Contents</w:t>
      </w:r>
    </w:p>
    <w:p w14:paraId="3280CC10" w14:textId="458E1245" w:rsidR="003D25EA" w:rsidRPr="00A10663" w:rsidRDefault="00AF2413">
      <w:pPr>
        <w:pStyle w:val="TOC1"/>
        <w:rPr>
          <w:rFonts w:eastAsiaTheme="minorEastAsia" w:cstheme="minorBidi"/>
          <w:noProof/>
          <w:color w:val="auto"/>
          <w:sz w:val="24"/>
          <w:lang w:val="nl-NL" w:eastAsia="nl-NL"/>
        </w:rPr>
      </w:pPr>
      <w:r w:rsidRPr="00A10663">
        <w:fldChar w:fldCharType="begin"/>
      </w:r>
      <w:r w:rsidRPr="00A10663">
        <w:instrText xml:space="preserve"> TOC \o "1-3" \h \z \u </w:instrText>
      </w:r>
      <w:r w:rsidRPr="00A10663">
        <w:fldChar w:fldCharType="separate"/>
      </w:r>
      <w:hyperlink w:anchor="_Toc190338545" w:history="1">
        <w:r w:rsidR="003D25EA" w:rsidRPr="00A10663">
          <w:rPr>
            <w:rStyle w:val="Hyperlink"/>
            <w:noProof/>
            <w:lang w:val="nl-NL"/>
          </w:rPr>
          <w:t>1.</w:t>
        </w:r>
        <w:r w:rsidR="003D25EA" w:rsidRPr="00A10663">
          <w:rPr>
            <w:rStyle w:val="Hyperlink"/>
            <w:rFonts w:eastAsia="Arial" w:cs="Arial"/>
            <w:noProof/>
            <w:lang w:val="nl-NL"/>
          </w:rPr>
          <w:t xml:space="preserve"> </w:t>
        </w:r>
        <w:r w:rsidR="003D25EA" w:rsidRPr="00A10663">
          <w:rPr>
            <w:rStyle w:val="Hyperlink"/>
            <w:noProof/>
            <w:lang w:val="nl-NL"/>
          </w:rPr>
          <w:t>Introductie</w:t>
        </w:r>
        <w:r w:rsidR="003D25EA" w:rsidRPr="00A10663">
          <w:rPr>
            <w:noProof/>
            <w:webHidden/>
          </w:rPr>
          <w:tab/>
        </w:r>
        <w:r w:rsidR="003D25EA" w:rsidRPr="00A10663">
          <w:rPr>
            <w:noProof/>
            <w:webHidden/>
          </w:rPr>
          <w:fldChar w:fldCharType="begin"/>
        </w:r>
        <w:r w:rsidR="003D25EA" w:rsidRPr="00A10663">
          <w:rPr>
            <w:noProof/>
            <w:webHidden/>
          </w:rPr>
          <w:instrText xml:space="preserve"> PAGEREF _Toc190338545 \h </w:instrText>
        </w:r>
        <w:r w:rsidR="003D25EA" w:rsidRPr="00A10663">
          <w:rPr>
            <w:noProof/>
            <w:webHidden/>
          </w:rPr>
        </w:r>
        <w:r w:rsidR="003D25EA" w:rsidRPr="00A10663">
          <w:rPr>
            <w:noProof/>
            <w:webHidden/>
          </w:rPr>
          <w:fldChar w:fldCharType="separate"/>
        </w:r>
        <w:r w:rsidR="006730B0">
          <w:rPr>
            <w:noProof/>
            <w:webHidden/>
          </w:rPr>
          <w:t>1</w:t>
        </w:r>
        <w:r w:rsidR="003D25EA" w:rsidRPr="00A10663">
          <w:rPr>
            <w:noProof/>
            <w:webHidden/>
          </w:rPr>
          <w:fldChar w:fldCharType="end"/>
        </w:r>
      </w:hyperlink>
    </w:p>
    <w:p w14:paraId="12214EFE" w14:textId="62212613" w:rsidR="003D25EA" w:rsidRPr="00A10663" w:rsidRDefault="003D25EA">
      <w:pPr>
        <w:pStyle w:val="TOC1"/>
        <w:rPr>
          <w:rFonts w:eastAsiaTheme="minorEastAsia" w:cstheme="minorBidi"/>
          <w:noProof/>
          <w:color w:val="auto"/>
          <w:sz w:val="24"/>
          <w:lang w:val="nl-NL" w:eastAsia="nl-NL"/>
        </w:rPr>
      </w:pPr>
      <w:hyperlink w:anchor="_Toc190338546" w:history="1">
        <w:r w:rsidRPr="00A10663">
          <w:rPr>
            <w:rStyle w:val="Hyperlink"/>
            <w:noProof/>
          </w:rPr>
          <w:t>2.</w:t>
        </w:r>
        <w:r w:rsidRPr="00A10663">
          <w:rPr>
            <w:rStyle w:val="Hyperlink"/>
            <w:rFonts w:eastAsia="Arial" w:cs="Arial"/>
            <w:noProof/>
          </w:rPr>
          <w:t xml:space="preserve"> </w:t>
        </w:r>
        <w:r w:rsidRPr="00A10663">
          <w:rPr>
            <w:rStyle w:val="Hyperlink"/>
            <w:noProof/>
          </w:rPr>
          <w:t>General approach of the information request</w:t>
        </w:r>
        <w:r w:rsidRPr="00A10663">
          <w:rPr>
            <w:noProof/>
            <w:webHidden/>
          </w:rPr>
          <w:tab/>
        </w:r>
        <w:r w:rsidRPr="00A10663">
          <w:rPr>
            <w:noProof/>
            <w:webHidden/>
          </w:rPr>
          <w:fldChar w:fldCharType="begin"/>
        </w:r>
        <w:r w:rsidRPr="00A10663">
          <w:rPr>
            <w:noProof/>
            <w:webHidden/>
          </w:rPr>
          <w:instrText xml:space="preserve"> PAGEREF _Toc190338546 \h </w:instrText>
        </w:r>
        <w:r w:rsidRPr="00A10663">
          <w:rPr>
            <w:noProof/>
            <w:webHidden/>
          </w:rPr>
        </w:r>
        <w:r w:rsidRPr="00A10663">
          <w:rPr>
            <w:noProof/>
            <w:webHidden/>
          </w:rPr>
          <w:fldChar w:fldCharType="separate"/>
        </w:r>
        <w:r w:rsidR="006730B0">
          <w:rPr>
            <w:noProof/>
            <w:webHidden/>
          </w:rPr>
          <w:t>2</w:t>
        </w:r>
        <w:r w:rsidRPr="00A10663">
          <w:rPr>
            <w:noProof/>
            <w:webHidden/>
          </w:rPr>
          <w:fldChar w:fldCharType="end"/>
        </w:r>
      </w:hyperlink>
    </w:p>
    <w:p w14:paraId="22E01D33" w14:textId="283D5292" w:rsidR="003D25EA" w:rsidRPr="00A10663" w:rsidRDefault="003D25EA">
      <w:pPr>
        <w:pStyle w:val="TOC1"/>
        <w:rPr>
          <w:rFonts w:eastAsiaTheme="minorEastAsia" w:cstheme="minorBidi"/>
          <w:noProof/>
          <w:color w:val="auto"/>
          <w:sz w:val="24"/>
          <w:lang w:val="nl-NL" w:eastAsia="nl-NL"/>
        </w:rPr>
      </w:pPr>
      <w:hyperlink w:anchor="_Toc190338547" w:history="1">
        <w:r w:rsidRPr="00A10663">
          <w:rPr>
            <w:rStyle w:val="Hyperlink"/>
            <w:noProof/>
          </w:rPr>
          <w:t>3. Technical specification of the expected new regime</w:t>
        </w:r>
        <w:r w:rsidRPr="00A10663">
          <w:rPr>
            <w:noProof/>
            <w:webHidden/>
          </w:rPr>
          <w:tab/>
        </w:r>
        <w:r w:rsidRPr="00A10663">
          <w:rPr>
            <w:noProof/>
            <w:webHidden/>
          </w:rPr>
          <w:fldChar w:fldCharType="begin"/>
        </w:r>
        <w:r w:rsidRPr="00A10663">
          <w:rPr>
            <w:noProof/>
            <w:webHidden/>
          </w:rPr>
          <w:instrText xml:space="preserve"> PAGEREF _Toc190338547 \h </w:instrText>
        </w:r>
        <w:r w:rsidRPr="00A10663">
          <w:rPr>
            <w:noProof/>
            <w:webHidden/>
          </w:rPr>
        </w:r>
        <w:r w:rsidRPr="00A10663">
          <w:rPr>
            <w:noProof/>
            <w:webHidden/>
          </w:rPr>
          <w:fldChar w:fldCharType="separate"/>
        </w:r>
        <w:r w:rsidR="006730B0">
          <w:rPr>
            <w:noProof/>
            <w:webHidden/>
          </w:rPr>
          <w:t>5</w:t>
        </w:r>
        <w:r w:rsidRPr="00A10663">
          <w:rPr>
            <w:noProof/>
            <w:webHidden/>
          </w:rPr>
          <w:fldChar w:fldCharType="end"/>
        </w:r>
      </w:hyperlink>
    </w:p>
    <w:p w14:paraId="0ACCE67A" w14:textId="26742750" w:rsidR="003D25EA" w:rsidRPr="00A10663" w:rsidRDefault="003D25EA">
      <w:pPr>
        <w:pStyle w:val="TOC3"/>
        <w:tabs>
          <w:tab w:val="right" w:leader="dot" w:pos="9842"/>
        </w:tabs>
        <w:rPr>
          <w:rFonts w:eastAsiaTheme="minorEastAsia" w:cstheme="minorBidi"/>
          <w:noProof/>
          <w:color w:val="auto"/>
          <w:sz w:val="24"/>
          <w:lang w:val="nl-NL" w:eastAsia="nl-NL"/>
        </w:rPr>
      </w:pPr>
      <w:hyperlink w:anchor="_Toc190338548" w:history="1">
        <w:r w:rsidRPr="00A10663">
          <w:rPr>
            <w:rStyle w:val="Hyperlink"/>
            <w:noProof/>
          </w:rPr>
          <w:t>3.1.</w:t>
        </w:r>
        <w:r w:rsidRPr="00A10663">
          <w:rPr>
            <w:rStyle w:val="Hyperlink"/>
            <w:rFonts w:eastAsia="Arial" w:cs="Arial"/>
            <w:noProof/>
          </w:rPr>
          <w:t xml:space="preserve"> </w:t>
        </w:r>
        <w:r w:rsidRPr="00A10663">
          <w:rPr>
            <w:rStyle w:val="Hyperlink"/>
            <w:noProof/>
          </w:rPr>
          <w:t>Risk-free interest rate term structures</w:t>
        </w:r>
        <w:r w:rsidRPr="00A10663">
          <w:rPr>
            <w:noProof/>
            <w:webHidden/>
          </w:rPr>
          <w:tab/>
        </w:r>
        <w:r w:rsidRPr="00A10663">
          <w:rPr>
            <w:noProof/>
            <w:webHidden/>
          </w:rPr>
          <w:fldChar w:fldCharType="begin"/>
        </w:r>
        <w:r w:rsidRPr="00A10663">
          <w:rPr>
            <w:noProof/>
            <w:webHidden/>
          </w:rPr>
          <w:instrText xml:space="preserve"> PAGEREF _Toc190338548 \h </w:instrText>
        </w:r>
        <w:r w:rsidRPr="00A10663">
          <w:rPr>
            <w:noProof/>
            <w:webHidden/>
          </w:rPr>
        </w:r>
        <w:r w:rsidRPr="00A10663">
          <w:rPr>
            <w:noProof/>
            <w:webHidden/>
          </w:rPr>
          <w:fldChar w:fldCharType="separate"/>
        </w:r>
        <w:r w:rsidR="006730B0">
          <w:rPr>
            <w:noProof/>
            <w:webHidden/>
          </w:rPr>
          <w:t>5</w:t>
        </w:r>
        <w:r w:rsidRPr="00A10663">
          <w:rPr>
            <w:noProof/>
            <w:webHidden/>
          </w:rPr>
          <w:fldChar w:fldCharType="end"/>
        </w:r>
      </w:hyperlink>
    </w:p>
    <w:p w14:paraId="71B28B97" w14:textId="2CC61A4D" w:rsidR="003D25EA" w:rsidRPr="00A10663" w:rsidRDefault="003D25EA">
      <w:pPr>
        <w:pStyle w:val="TOC3"/>
        <w:tabs>
          <w:tab w:val="right" w:leader="dot" w:pos="9842"/>
        </w:tabs>
        <w:rPr>
          <w:rFonts w:eastAsiaTheme="minorEastAsia" w:cstheme="minorBidi"/>
          <w:noProof/>
          <w:color w:val="auto"/>
          <w:sz w:val="24"/>
          <w:lang w:val="nl-NL" w:eastAsia="nl-NL"/>
        </w:rPr>
      </w:pPr>
      <w:hyperlink w:anchor="_Toc190338549" w:history="1">
        <w:r w:rsidRPr="00A10663">
          <w:rPr>
            <w:rStyle w:val="Hyperlink"/>
            <w:noProof/>
          </w:rPr>
          <w:t>3.2.</w:t>
        </w:r>
        <w:r w:rsidRPr="00A10663">
          <w:rPr>
            <w:rStyle w:val="Hyperlink"/>
            <w:rFonts w:eastAsia="Arial" w:cs="Arial"/>
            <w:noProof/>
          </w:rPr>
          <w:t xml:space="preserve"> </w:t>
        </w:r>
        <w:r w:rsidRPr="00A10663">
          <w:rPr>
            <w:rStyle w:val="Hyperlink"/>
            <w:noProof/>
          </w:rPr>
          <w:t>Technical provisions</w:t>
        </w:r>
        <w:r w:rsidRPr="00A10663">
          <w:rPr>
            <w:noProof/>
            <w:webHidden/>
          </w:rPr>
          <w:tab/>
        </w:r>
        <w:r w:rsidRPr="00A10663">
          <w:rPr>
            <w:noProof/>
            <w:webHidden/>
          </w:rPr>
          <w:fldChar w:fldCharType="begin"/>
        </w:r>
        <w:r w:rsidRPr="00A10663">
          <w:rPr>
            <w:noProof/>
            <w:webHidden/>
          </w:rPr>
          <w:instrText xml:space="preserve"> PAGEREF _Toc190338549 \h </w:instrText>
        </w:r>
        <w:r w:rsidRPr="00A10663">
          <w:rPr>
            <w:noProof/>
            <w:webHidden/>
          </w:rPr>
        </w:r>
        <w:r w:rsidRPr="00A10663">
          <w:rPr>
            <w:noProof/>
            <w:webHidden/>
          </w:rPr>
          <w:fldChar w:fldCharType="separate"/>
        </w:r>
        <w:r w:rsidR="006730B0">
          <w:rPr>
            <w:noProof/>
            <w:webHidden/>
          </w:rPr>
          <w:t>10</w:t>
        </w:r>
        <w:r w:rsidRPr="00A10663">
          <w:rPr>
            <w:noProof/>
            <w:webHidden/>
          </w:rPr>
          <w:fldChar w:fldCharType="end"/>
        </w:r>
      </w:hyperlink>
    </w:p>
    <w:p w14:paraId="69A225AD" w14:textId="5CDE879E" w:rsidR="003D25EA" w:rsidRPr="00A10663" w:rsidRDefault="003D25EA">
      <w:pPr>
        <w:pStyle w:val="TOC3"/>
        <w:tabs>
          <w:tab w:val="right" w:leader="dot" w:pos="9842"/>
        </w:tabs>
        <w:rPr>
          <w:rFonts w:eastAsiaTheme="minorEastAsia" w:cstheme="minorBidi"/>
          <w:noProof/>
          <w:color w:val="auto"/>
          <w:sz w:val="24"/>
          <w:lang w:val="nl-NL" w:eastAsia="nl-NL"/>
        </w:rPr>
      </w:pPr>
      <w:hyperlink w:anchor="_Toc190338550" w:history="1">
        <w:r w:rsidRPr="00A10663">
          <w:rPr>
            <w:rStyle w:val="Hyperlink"/>
            <w:noProof/>
          </w:rPr>
          <w:t>3.3.</w:t>
        </w:r>
        <w:r w:rsidRPr="00A10663">
          <w:rPr>
            <w:rStyle w:val="Hyperlink"/>
            <w:rFonts w:eastAsia="Arial" w:cs="Arial"/>
            <w:noProof/>
          </w:rPr>
          <w:t xml:space="preserve"> </w:t>
        </w:r>
        <w:r w:rsidRPr="00A10663">
          <w:rPr>
            <w:rStyle w:val="Hyperlink"/>
            <w:noProof/>
          </w:rPr>
          <w:t>Solvency Capital Requirement</w:t>
        </w:r>
        <w:r w:rsidRPr="00A10663">
          <w:rPr>
            <w:noProof/>
            <w:webHidden/>
          </w:rPr>
          <w:tab/>
        </w:r>
        <w:r w:rsidRPr="00A10663">
          <w:rPr>
            <w:noProof/>
            <w:webHidden/>
          </w:rPr>
          <w:fldChar w:fldCharType="begin"/>
        </w:r>
        <w:r w:rsidRPr="00A10663">
          <w:rPr>
            <w:noProof/>
            <w:webHidden/>
          </w:rPr>
          <w:instrText xml:space="preserve"> PAGEREF _Toc190338550 \h </w:instrText>
        </w:r>
        <w:r w:rsidRPr="00A10663">
          <w:rPr>
            <w:noProof/>
            <w:webHidden/>
          </w:rPr>
        </w:r>
        <w:r w:rsidRPr="00A10663">
          <w:rPr>
            <w:noProof/>
            <w:webHidden/>
          </w:rPr>
          <w:fldChar w:fldCharType="separate"/>
        </w:r>
        <w:r w:rsidR="006730B0">
          <w:rPr>
            <w:noProof/>
            <w:webHidden/>
          </w:rPr>
          <w:t>12</w:t>
        </w:r>
        <w:r w:rsidRPr="00A10663">
          <w:rPr>
            <w:noProof/>
            <w:webHidden/>
          </w:rPr>
          <w:fldChar w:fldCharType="end"/>
        </w:r>
      </w:hyperlink>
    </w:p>
    <w:p w14:paraId="0C8C4793" w14:textId="52DEA7C7" w:rsidR="003D25EA" w:rsidRPr="00A10663" w:rsidRDefault="003D25EA">
      <w:pPr>
        <w:pStyle w:val="TOC3"/>
        <w:tabs>
          <w:tab w:val="right" w:leader="dot" w:pos="9842"/>
        </w:tabs>
        <w:rPr>
          <w:rFonts w:eastAsiaTheme="minorEastAsia" w:cstheme="minorBidi"/>
          <w:noProof/>
          <w:color w:val="auto"/>
          <w:sz w:val="24"/>
          <w:lang w:val="nl-NL" w:eastAsia="nl-NL"/>
        </w:rPr>
      </w:pPr>
      <w:hyperlink w:anchor="_Toc190338551" w:history="1">
        <w:r w:rsidRPr="00A10663">
          <w:rPr>
            <w:rStyle w:val="Hyperlink"/>
            <w:noProof/>
          </w:rPr>
          <w:t>3.4.</w:t>
        </w:r>
        <w:r w:rsidRPr="00A10663">
          <w:rPr>
            <w:rStyle w:val="Hyperlink"/>
            <w:rFonts w:eastAsia="Arial" w:cs="Arial"/>
            <w:noProof/>
          </w:rPr>
          <w:t xml:space="preserve"> </w:t>
        </w:r>
        <w:r w:rsidRPr="00A10663">
          <w:rPr>
            <w:rStyle w:val="Hyperlink"/>
            <w:noProof/>
          </w:rPr>
          <w:t>Minimum Capital Requirement</w:t>
        </w:r>
        <w:r w:rsidRPr="00A10663">
          <w:rPr>
            <w:noProof/>
            <w:webHidden/>
          </w:rPr>
          <w:tab/>
        </w:r>
        <w:r w:rsidRPr="00A10663">
          <w:rPr>
            <w:noProof/>
            <w:webHidden/>
          </w:rPr>
          <w:fldChar w:fldCharType="begin"/>
        </w:r>
        <w:r w:rsidRPr="00A10663">
          <w:rPr>
            <w:noProof/>
            <w:webHidden/>
          </w:rPr>
          <w:instrText xml:space="preserve"> PAGEREF _Toc190338551 \h </w:instrText>
        </w:r>
        <w:r w:rsidRPr="00A10663">
          <w:rPr>
            <w:noProof/>
            <w:webHidden/>
          </w:rPr>
        </w:r>
        <w:r w:rsidRPr="00A10663">
          <w:rPr>
            <w:noProof/>
            <w:webHidden/>
          </w:rPr>
          <w:fldChar w:fldCharType="separate"/>
        </w:r>
        <w:r w:rsidR="006730B0">
          <w:rPr>
            <w:noProof/>
            <w:webHidden/>
          </w:rPr>
          <w:t>22</w:t>
        </w:r>
        <w:r w:rsidRPr="00A10663">
          <w:rPr>
            <w:noProof/>
            <w:webHidden/>
          </w:rPr>
          <w:fldChar w:fldCharType="end"/>
        </w:r>
      </w:hyperlink>
    </w:p>
    <w:p w14:paraId="2F4D0575" w14:textId="50FD5D1A" w:rsidR="00AF2413" w:rsidRDefault="00AF2413">
      <w:pPr>
        <w:rPr>
          <w:b/>
          <w:bCs/>
          <w:noProof/>
        </w:rPr>
      </w:pPr>
      <w:r w:rsidRPr="00A10663">
        <w:rPr>
          <w:b/>
          <w:bCs/>
          <w:noProof/>
        </w:rPr>
        <w:fldChar w:fldCharType="end"/>
      </w:r>
    </w:p>
    <w:p w14:paraId="742E7D84" w14:textId="284A9A6C" w:rsidR="0078212D" w:rsidRDefault="0078212D">
      <w:pPr>
        <w:rPr>
          <w:b/>
          <w:bCs/>
          <w:noProof/>
        </w:rPr>
      </w:pPr>
      <w:r>
        <w:rPr>
          <w:b/>
          <w:bCs/>
          <w:noProof/>
        </w:rPr>
        <w:t>Adjustments V2.1 compared to V2.0:</w:t>
      </w:r>
    </w:p>
    <w:p w14:paraId="6039B971" w14:textId="5769515C" w:rsidR="0078212D" w:rsidRPr="00A10663" w:rsidRDefault="00F97A70" w:rsidP="0078212D">
      <w:pPr>
        <w:pStyle w:val="ListParagraph"/>
        <w:numPr>
          <w:ilvl w:val="0"/>
          <w:numId w:val="54"/>
        </w:numPr>
      </w:pPr>
      <w:r>
        <w:t>In the table with CIC codes for the CSSR in</w:t>
      </w:r>
      <w:r w:rsidR="0078212D">
        <w:t xml:space="preserve"> paragraph </w:t>
      </w:r>
      <w:r w:rsidR="0078212D">
        <w:fldChar w:fldCharType="begin"/>
      </w:r>
      <w:r w:rsidR="0078212D">
        <w:instrText xml:space="preserve"> REF _Ref188523896 \r \h </w:instrText>
      </w:r>
      <w:r w:rsidR="0078212D">
        <w:fldChar w:fldCharType="separate"/>
      </w:r>
      <w:r w:rsidR="0078212D">
        <w:t>29</w:t>
      </w:r>
      <w:r w:rsidR="0078212D">
        <w:fldChar w:fldCharType="end"/>
      </w:r>
      <w:r>
        <w:t>, two columns right of “6”</w:t>
      </w:r>
      <w:r w:rsidR="00502E67">
        <w:t>,</w:t>
      </w:r>
      <w:r>
        <w:t xml:space="preserve"> CIC code 54 is replaced by CIC code 64.</w:t>
      </w:r>
    </w:p>
    <w:p w14:paraId="65E5E174" w14:textId="77777777" w:rsidR="002B3376" w:rsidRPr="0078212D" w:rsidRDefault="000C4AB1" w:rsidP="00BD6C7D">
      <w:pPr>
        <w:spacing w:after="0" w:line="248" w:lineRule="auto"/>
        <w:ind w:left="0" w:right="6883" w:firstLine="0"/>
        <w:jc w:val="left"/>
      </w:pPr>
      <w:r w:rsidRPr="0078212D">
        <w:rPr>
          <w:b/>
        </w:rPr>
        <w:t xml:space="preserve"> </w:t>
      </w:r>
      <w:r w:rsidRPr="0078212D">
        <w:rPr>
          <w:b/>
          <w:sz w:val="26"/>
        </w:rPr>
        <w:t xml:space="preserve"> </w:t>
      </w:r>
      <w:r w:rsidRPr="0078212D">
        <w:rPr>
          <w:b/>
          <w:sz w:val="26"/>
        </w:rPr>
        <w:tab/>
        <w:t xml:space="preserve"> </w:t>
      </w:r>
    </w:p>
    <w:p w14:paraId="3F071142" w14:textId="6F690F49" w:rsidR="002B3376" w:rsidRPr="0078212D" w:rsidRDefault="000C4AB1" w:rsidP="00AE0E00">
      <w:pPr>
        <w:pStyle w:val="Heading1"/>
        <w:ind w:left="0"/>
      </w:pPr>
      <w:bookmarkStart w:id="0" w:name="_Toc190205696"/>
      <w:bookmarkStart w:id="1" w:name="_Toc190338545"/>
      <w:r w:rsidRPr="0078212D">
        <w:t>1.</w:t>
      </w:r>
      <w:r w:rsidRPr="0078212D">
        <w:rPr>
          <w:rFonts w:eastAsia="Arial" w:cs="Arial"/>
        </w:rPr>
        <w:t xml:space="preserve"> </w:t>
      </w:r>
      <w:proofErr w:type="spellStart"/>
      <w:r w:rsidRPr="0078212D">
        <w:t>Introducti</w:t>
      </w:r>
      <w:r w:rsidR="00EB7FB9" w:rsidRPr="0078212D">
        <w:t>e</w:t>
      </w:r>
      <w:bookmarkEnd w:id="0"/>
      <w:bookmarkEnd w:id="1"/>
      <w:proofErr w:type="spellEnd"/>
    </w:p>
    <w:p w14:paraId="26F26126" w14:textId="635C6AA0" w:rsidR="009D78CF" w:rsidRPr="00A10663" w:rsidRDefault="009D78CF" w:rsidP="00BD6C7D">
      <w:pPr>
        <w:numPr>
          <w:ilvl w:val="0"/>
          <w:numId w:val="5"/>
        </w:numPr>
        <w:ind w:right="204" w:hanging="566"/>
        <w:rPr>
          <w:lang w:val="nl-NL"/>
        </w:rPr>
      </w:pPr>
      <w:r w:rsidRPr="00A10663">
        <w:rPr>
          <w:lang w:val="nl-NL"/>
        </w:rPr>
        <w:t xml:space="preserve">Deze uitvraag </w:t>
      </w:r>
      <w:r w:rsidR="009A7C6B" w:rsidRPr="00A10663">
        <w:rPr>
          <w:lang w:val="nl-NL"/>
        </w:rPr>
        <w:t xml:space="preserve">bestaat uit een kwantitatief en een kwalitatief deel. </w:t>
      </w:r>
      <w:r w:rsidR="001C3B8E" w:rsidRPr="00A10663">
        <w:rPr>
          <w:lang w:val="nl-NL"/>
        </w:rPr>
        <w:t xml:space="preserve">De uitvraag heeft tot doel </w:t>
      </w:r>
      <w:r w:rsidR="0004278E" w:rsidRPr="00A10663">
        <w:rPr>
          <w:lang w:val="nl-NL"/>
        </w:rPr>
        <w:t xml:space="preserve">verzekeraars voor te bereiden op de </w:t>
      </w:r>
      <w:r w:rsidR="00C47501" w:rsidRPr="00A10663">
        <w:rPr>
          <w:lang w:val="nl-NL"/>
        </w:rPr>
        <w:t>implementatie van de Amenderende Richtlijn.</w:t>
      </w:r>
      <w:r w:rsidR="005455DB" w:rsidRPr="00A10663">
        <w:rPr>
          <w:lang w:val="nl-NL"/>
        </w:rPr>
        <w:t xml:space="preserve"> </w:t>
      </w:r>
      <w:r w:rsidR="009A7C6B" w:rsidRPr="00A10663">
        <w:rPr>
          <w:lang w:val="nl-NL"/>
        </w:rPr>
        <w:t xml:space="preserve">Het kwantitatieve </w:t>
      </w:r>
      <w:r w:rsidR="005F6EBB" w:rsidRPr="00A10663">
        <w:rPr>
          <w:lang w:val="nl-NL"/>
        </w:rPr>
        <w:t>brengt</w:t>
      </w:r>
      <w:r w:rsidR="009A7C6B" w:rsidRPr="00A10663">
        <w:rPr>
          <w:lang w:val="nl-NL"/>
        </w:rPr>
        <w:t xml:space="preserve"> </w:t>
      </w:r>
      <w:r w:rsidRPr="00A10663">
        <w:rPr>
          <w:lang w:val="nl-NL"/>
        </w:rPr>
        <w:t>de financiële impact van de Solvency II herziening op de sector als geheel en op individuele verzekeraars in kaart</w:t>
      </w:r>
      <w:r w:rsidR="009A7C6B" w:rsidRPr="00A10663">
        <w:rPr>
          <w:lang w:val="nl-NL"/>
        </w:rPr>
        <w:t xml:space="preserve">. </w:t>
      </w:r>
      <w:r w:rsidRPr="00A10663">
        <w:rPr>
          <w:lang w:val="nl-NL"/>
        </w:rPr>
        <w:t xml:space="preserve">Voor DNB en verzekeraars is dit van belang om proactief te kunnen reageren op huidige en nieuwe risico’s door vooruit te kijken naar toekomstige ontwikkelingen in de solvabiliteit. Daarnaast is een </w:t>
      </w:r>
      <w:r w:rsidR="002E3A59" w:rsidRPr="00A10663">
        <w:rPr>
          <w:lang w:val="nl-NL"/>
        </w:rPr>
        <w:t>wijziging</w:t>
      </w:r>
      <w:r w:rsidRPr="00A10663">
        <w:rPr>
          <w:lang w:val="nl-NL"/>
        </w:rPr>
        <w:t xml:space="preserve"> in de berekening van de solvabiliteitspositie voor verzekeraars een trigger om te bepalen of dit leidt tot een herijking van het kapitaalbeleid, hedgebeleid en dividendprognoses.</w:t>
      </w:r>
    </w:p>
    <w:p w14:paraId="52BA9F4D" w14:textId="0F3B3B44" w:rsidR="009D78CF" w:rsidRPr="00A10663" w:rsidRDefault="009A7C6B" w:rsidP="00BD6C7D">
      <w:pPr>
        <w:numPr>
          <w:ilvl w:val="0"/>
          <w:numId w:val="5"/>
        </w:numPr>
        <w:ind w:right="204" w:hanging="566"/>
        <w:rPr>
          <w:lang w:val="nl-NL"/>
        </w:rPr>
      </w:pPr>
      <w:r w:rsidRPr="00A10663">
        <w:rPr>
          <w:lang w:val="nl-NL"/>
        </w:rPr>
        <w:t xml:space="preserve">Het kwalitatieve deel </w:t>
      </w:r>
      <w:r w:rsidR="005F6EBB" w:rsidRPr="00A10663">
        <w:rPr>
          <w:lang w:val="nl-NL"/>
        </w:rPr>
        <w:t>activeert</w:t>
      </w:r>
      <w:r w:rsidRPr="00A10663">
        <w:rPr>
          <w:lang w:val="nl-NL"/>
        </w:rPr>
        <w:t xml:space="preserve"> </w:t>
      </w:r>
      <w:r w:rsidR="009D78CF" w:rsidRPr="00A10663">
        <w:rPr>
          <w:lang w:val="nl-NL"/>
        </w:rPr>
        <w:t>verzekeraars en DNB ten aanzien van de operationele en beleidsmatige voorbereiding.</w:t>
      </w:r>
      <w:r w:rsidRPr="00A10663">
        <w:rPr>
          <w:lang w:val="nl-NL"/>
        </w:rPr>
        <w:t xml:space="preserve"> </w:t>
      </w:r>
      <w:r w:rsidR="009D78CF" w:rsidRPr="00A10663">
        <w:rPr>
          <w:lang w:val="nl-NL"/>
        </w:rPr>
        <w:t xml:space="preserve">De Solvency II </w:t>
      </w:r>
      <w:r w:rsidR="00AE3962" w:rsidRPr="00A10663">
        <w:rPr>
          <w:lang w:val="nl-NL"/>
        </w:rPr>
        <w:t>R</w:t>
      </w:r>
      <w:r w:rsidR="009D78CF" w:rsidRPr="00A10663">
        <w:rPr>
          <w:lang w:val="nl-NL"/>
        </w:rPr>
        <w:t xml:space="preserve">eview vergt aanpassingen op operationeel gebied en mogelijk beleidswijzigingen bij verzekeraars en in toezicht. Aan de hand van </w:t>
      </w:r>
      <w:r w:rsidR="004B5C67" w:rsidRPr="00A10663">
        <w:rPr>
          <w:lang w:val="nl-NL"/>
        </w:rPr>
        <w:t>de</w:t>
      </w:r>
      <w:r w:rsidR="009D78CF" w:rsidRPr="00A10663">
        <w:rPr>
          <w:lang w:val="nl-NL"/>
        </w:rPr>
        <w:t xml:space="preserve"> kwalitatieve vragenlijst wil DNB van verzekeraars een beeld krijgen van de mate waarin </w:t>
      </w:r>
      <w:r w:rsidR="00A14518" w:rsidRPr="00A10663">
        <w:rPr>
          <w:lang w:val="nl-NL"/>
        </w:rPr>
        <w:t xml:space="preserve">zij </w:t>
      </w:r>
      <w:r w:rsidR="009D78CF" w:rsidRPr="00A10663">
        <w:rPr>
          <w:lang w:val="nl-NL"/>
        </w:rPr>
        <w:t xml:space="preserve">zich </w:t>
      </w:r>
      <w:r w:rsidR="00F36D94" w:rsidRPr="00A10663">
        <w:rPr>
          <w:lang w:val="nl-NL"/>
        </w:rPr>
        <w:t xml:space="preserve">op de implementatie </w:t>
      </w:r>
      <w:r w:rsidR="009D78CF" w:rsidRPr="00A10663">
        <w:rPr>
          <w:lang w:val="nl-NL"/>
        </w:rPr>
        <w:t>voorbereiden</w:t>
      </w:r>
      <w:r w:rsidR="00091BB5" w:rsidRPr="00A10663">
        <w:rPr>
          <w:lang w:val="nl-NL"/>
        </w:rPr>
        <w:t>. Daarnaast wil DNB</w:t>
      </w:r>
      <w:r w:rsidR="009D78CF" w:rsidRPr="00A10663">
        <w:rPr>
          <w:lang w:val="nl-NL"/>
        </w:rPr>
        <w:t xml:space="preserve"> </w:t>
      </w:r>
      <w:r w:rsidR="00C95BF6" w:rsidRPr="00A10663">
        <w:rPr>
          <w:lang w:val="nl-NL"/>
        </w:rPr>
        <w:t xml:space="preserve">verzekeraars </w:t>
      </w:r>
      <w:r w:rsidR="009D78CF" w:rsidRPr="00A10663">
        <w:rPr>
          <w:lang w:val="nl-NL"/>
        </w:rPr>
        <w:t xml:space="preserve">activeren om de </w:t>
      </w:r>
      <w:r w:rsidR="00091BB5" w:rsidRPr="00A10663">
        <w:rPr>
          <w:lang w:val="nl-NL"/>
        </w:rPr>
        <w:t xml:space="preserve">gewenste en </w:t>
      </w:r>
      <w:r w:rsidR="009D78CF" w:rsidRPr="00A10663">
        <w:rPr>
          <w:lang w:val="nl-NL"/>
        </w:rPr>
        <w:t>benodigde wijzigingen in kaart te brengen voor de eigen organisatie.</w:t>
      </w:r>
    </w:p>
    <w:p w14:paraId="7A6C0F93" w14:textId="6E5D63CF" w:rsidR="00226CF8" w:rsidRPr="00A10663" w:rsidRDefault="00226CF8" w:rsidP="00BD6C7D">
      <w:pPr>
        <w:numPr>
          <w:ilvl w:val="0"/>
          <w:numId w:val="5"/>
        </w:numPr>
        <w:ind w:right="204" w:hanging="566"/>
        <w:rPr>
          <w:lang w:val="nl-NL"/>
        </w:rPr>
      </w:pPr>
      <w:r w:rsidRPr="00A10663">
        <w:rPr>
          <w:lang w:val="nl-NL"/>
        </w:rPr>
        <w:t>De peildatum voor de kwantitatieve impactanalyse is 31 december 2024. Vervolgens wordt de uitvraag, zowel het kwalitatieve als het kwantitatieve deel, jaarlijks herhaald tot de daadwerkelijke implementatie van de Solvency II Review.</w:t>
      </w:r>
      <w:r w:rsidR="00C25E83" w:rsidRPr="00A10663">
        <w:rPr>
          <w:lang w:val="nl-NL"/>
        </w:rPr>
        <w:t xml:space="preserve"> </w:t>
      </w:r>
      <w:r w:rsidR="002A2FEF" w:rsidRPr="00A10663">
        <w:rPr>
          <w:lang w:val="nl-NL"/>
        </w:rPr>
        <w:t xml:space="preserve">In </w:t>
      </w:r>
      <w:r w:rsidR="000149E8" w:rsidRPr="00A10663">
        <w:rPr>
          <w:lang w:val="nl-NL"/>
        </w:rPr>
        <w:t xml:space="preserve">volgende </w:t>
      </w:r>
      <w:r w:rsidR="007B5502" w:rsidRPr="00A10663">
        <w:rPr>
          <w:lang w:val="nl-NL"/>
        </w:rPr>
        <w:t>iteratie</w:t>
      </w:r>
      <w:r w:rsidR="004A6045" w:rsidRPr="00A10663">
        <w:rPr>
          <w:lang w:val="nl-NL"/>
        </w:rPr>
        <w:t>s</w:t>
      </w:r>
      <w:r w:rsidR="007B5502" w:rsidRPr="00A10663">
        <w:rPr>
          <w:lang w:val="nl-NL"/>
        </w:rPr>
        <w:t xml:space="preserve"> </w:t>
      </w:r>
      <w:r w:rsidR="000E5978" w:rsidRPr="00A10663">
        <w:rPr>
          <w:lang w:val="nl-NL"/>
        </w:rPr>
        <w:t>kan</w:t>
      </w:r>
      <w:r w:rsidR="007B5502" w:rsidRPr="00A10663">
        <w:rPr>
          <w:lang w:val="nl-NL"/>
        </w:rPr>
        <w:t xml:space="preserve"> </w:t>
      </w:r>
      <w:r w:rsidR="008F4C8D" w:rsidRPr="00A10663">
        <w:rPr>
          <w:lang w:val="nl-NL"/>
        </w:rPr>
        <w:t xml:space="preserve">de uitvraag </w:t>
      </w:r>
      <w:r w:rsidR="00503048" w:rsidRPr="00A10663">
        <w:rPr>
          <w:lang w:val="nl-NL"/>
        </w:rPr>
        <w:t>worden</w:t>
      </w:r>
      <w:r w:rsidR="00C55CF2" w:rsidRPr="00A10663">
        <w:rPr>
          <w:lang w:val="nl-NL"/>
        </w:rPr>
        <w:t xml:space="preserve"> </w:t>
      </w:r>
      <w:r w:rsidR="00BC21FA" w:rsidRPr="00A10663">
        <w:rPr>
          <w:lang w:val="nl-NL"/>
        </w:rPr>
        <w:t>aangepast</w:t>
      </w:r>
      <w:r w:rsidR="00C55CF2" w:rsidRPr="00A10663">
        <w:rPr>
          <w:lang w:val="nl-NL"/>
        </w:rPr>
        <w:t xml:space="preserve"> op basis van ervaringen en nieuwe ontwikkelingen.</w:t>
      </w:r>
    </w:p>
    <w:p w14:paraId="5B9A9293" w14:textId="79E5A5B7" w:rsidR="00BB17DB" w:rsidRPr="00A10663" w:rsidRDefault="00FD3EE4" w:rsidP="00BD6C7D">
      <w:pPr>
        <w:numPr>
          <w:ilvl w:val="0"/>
          <w:numId w:val="5"/>
        </w:numPr>
        <w:ind w:right="204" w:hanging="566"/>
        <w:rPr>
          <w:lang w:val="nl-NL"/>
        </w:rPr>
      </w:pPr>
      <w:r w:rsidRPr="00A10663">
        <w:rPr>
          <w:lang w:val="nl-NL"/>
        </w:rPr>
        <w:t xml:space="preserve">Deze versie van de technische specificatie is gebaseerd op teksten die </w:t>
      </w:r>
      <w:r w:rsidR="32241BBE" w:rsidRPr="00A10663">
        <w:rPr>
          <w:lang w:val="nl-NL"/>
        </w:rPr>
        <w:t xml:space="preserve">op zijn laatst in </w:t>
      </w:r>
      <w:r w:rsidR="00273B77" w:rsidRPr="00A10663">
        <w:rPr>
          <w:lang w:val="nl-NL"/>
        </w:rPr>
        <w:t xml:space="preserve">januari 2025 zijn gepubliceerd, samen met de inzichten </w:t>
      </w:r>
      <w:r w:rsidR="0C73FAE1" w:rsidRPr="00A10663">
        <w:rPr>
          <w:lang w:val="nl-NL"/>
        </w:rPr>
        <w:t xml:space="preserve">in </w:t>
      </w:r>
      <w:r w:rsidR="00273B77" w:rsidRPr="00A10663">
        <w:rPr>
          <w:lang w:val="nl-NL"/>
        </w:rPr>
        <w:t>de specificaties</w:t>
      </w:r>
      <w:r w:rsidR="1388836D" w:rsidRPr="00A10663">
        <w:rPr>
          <w:lang w:val="nl-NL"/>
        </w:rPr>
        <w:t xml:space="preserve"> per die maand</w:t>
      </w:r>
      <w:r w:rsidR="0088305D" w:rsidRPr="00A10663">
        <w:rPr>
          <w:lang w:val="nl-NL"/>
        </w:rPr>
        <w:t xml:space="preserve">. De wijzigingen in de </w:t>
      </w:r>
      <w:r w:rsidR="000D7149" w:rsidRPr="00A10663">
        <w:rPr>
          <w:lang w:val="nl-NL"/>
        </w:rPr>
        <w:t xml:space="preserve">Solvency II </w:t>
      </w:r>
      <w:r w:rsidR="00B615F0" w:rsidRPr="00A10663">
        <w:rPr>
          <w:lang w:val="nl-NL"/>
        </w:rPr>
        <w:t>R</w:t>
      </w:r>
      <w:r w:rsidR="000D7149" w:rsidRPr="00A10663">
        <w:rPr>
          <w:lang w:val="nl-NL"/>
        </w:rPr>
        <w:t xml:space="preserve">ichtlijn </w:t>
      </w:r>
      <w:r w:rsidR="0088305D" w:rsidRPr="00A10663">
        <w:rPr>
          <w:lang w:val="nl-NL"/>
        </w:rPr>
        <w:t xml:space="preserve">zijn inmiddels </w:t>
      </w:r>
      <w:r w:rsidR="009F6138" w:rsidRPr="00A10663">
        <w:rPr>
          <w:lang w:val="nl-NL"/>
        </w:rPr>
        <w:t xml:space="preserve">gepubliceerd </w:t>
      </w:r>
      <w:r w:rsidR="009F6138" w:rsidRPr="00A10663">
        <w:rPr>
          <w:lang w:val="nl-NL"/>
        </w:rPr>
        <w:lastRenderedPageBreak/>
        <w:t>in het publicatieblad</w:t>
      </w:r>
      <w:r w:rsidR="006C687A" w:rsidRPr="00A10663">
        <w:rPr>
          <w:lang w:val="nl-NL"/>
        </w:rPr>
        <w:t xml:space="preserve"> van de EU</w:t>
      </w:r>
      <w:r w:rsidR="006C687A" w:rsidRPr="00A10663">
        <w:rPr>
          <w:rStyle w:val="FootnoteReference"/>
          <w:lang w:val="nl-NL"/>
        </w:rPr>
        <w:footnoteReference w:id="2"/>
      </w:r>
      <w:r w:rsidR="006C687A" w:rsidRPr="00A10663">
        <w:rPr>
          <w:lang w:val="nl-NL"/>
        </w:rPr>
        <w:t xml:space="preserve"> </w:t>
      </w:r>
      <w:r w:rsidR="001123A1" w:rsidRPr="00A10663">
        <w:rPr>
          <w:lang w:val="nl-NL"/>
        </w:rPr>
        <w:t>en dus finaal</w:t>
      </w:r>
      <w:r w:rsidR="006D390E" w:rsidRPr="00A10663">
        <w:rPr>
          <w:lang w:val="nl-NL"/>
        </w:rPr>
        <w:t xml:space="preserve">. </w:t>
      </w:r>
      <w:r w:rsidR="007D0140" w:rsidRPr="00A10663">
        <w:rPr>
          <w:lang w:val="nl-NL"/>
        </w:rPr>
        <w:t xml:space="preserve">Een concept </w:t>
      </w:r>
      <w:r w:rsidR="00925AE7" w:rsidRPr="00A10663">
        <w:rPr>
          <w:lang w:val="nl-NL"/>
        </w:rPr>
        <w:t xml:space="preserve">Gedelegeerde Verordening </w:t>
      </w:r>
      <w:r w:rsidR="007D0140" w:rsidRPr="00A10663">
        <w:rPr>
          <w:lang w:val="nl-NL"/>
        </w:rPr>
        <w:t>is nog niet beschikbaar</w:t>
      </w:r>
      <w:r w:rsidR="001677C3" w:rsidRPr="00A10663">
        <w:rPr>
          <w:lang w:val="nl-NL"/>
        </w:rPr>
        <w:t>. V</w:t>
      </w:r>
      <w:r w:rsidR="00925AE7" w:rsidRPr="00A10663">
        <w:rPr>
          <w:lang w:val="nl-NL"/>
        </w:rPr>
        <w:t xml:space="preserve">oor deze </w:t>
      </w:r>
      <w:r w:rsidR="00273B77" w:rsidRPr="00A10663">
        <w:rPr>
          <w:lang w:val="nl-NL"/>
        </w:rPr>
        <w:t xml:space="preserve">versie </w:t>
      </w:r>
      <w:r w:rsidR="001677C3" w:rsidRPr="00A10663">
        <w:rPr>
          <w:lang w:val="nl-NL"/>
        </w:rPr>
        <w:t xml:space="preserve">van de uitvraag </w:t>
      </w:r>
      <w:r w:rsidR="00925AE7" w:rsidRPr="00A10663">
        <w:rPr>
          <w:lang w:val="nl-NL"/>
        </w:rPr>
        <w:t xml:space="preserve">zijn de verwachte wijzigingen </w:t>
      </w:r>
      <w:r w:rsidR="001677C3" w:rsidRPr="00A10663">
        <w:rPr>
          <w:lang w:val="nl-NL"/>
        </w:rPr>
        <w:t xml:space="preserve">in de Gedelegeerde Verordening </w:t>
      </w:r>
      <w:r w:rsidR="00925AE7" w:rsidRPr="00A10663">
        <w:rPr>
          <w:lang w:val="nl-NL"/>
        </w:rPr>
        <w:t>gebaseerd op d</w:t>
      </w:r>
      <w:r w:rsidR="002E008F" w:rsidRPr="00A10663">
        <w:rPr>
          <w:lang w:val="nl-NL"/>
        </w:rPr>
        <w:t xml:space="preserve">e </w:t>
      </w:r>
      <w:r w:rsidR="33C84EE9" w:rsidRPr="00A10663">
        <w:rPr>
          <w:lang w:val="nl-NL"/>
        </w:rPr>
        <w:t>EIOPA-opinie</w:t>
      </w:r>
      <w:r w:rsidR="002E008F" w:rsidRPr="00A10663">
        <w:rPr>
          <w:lang w:val="nl-NL"/>
        </w:rPr>
        <w:t xml:space="preserve"> </w:t>
      </w:r>
      <w:r w:rsidR="00FC1A68" w:rsidRPr="00A10663">
        <w:rPr>
          <w:lang w:val="nl-NL"/>
        </w:rPr>
        <w:t>uit 2020</w:t>
      </w:r>
      <w:r w:rsidR="006D390E" w:rsidRPr="00A10663">
        <w:rPr>
          <w:rStyle w:val="FootnoteReference"/>
          <w:lang w:val="nl-NL"/>
        </w:rPr>
        <w:footnoteReference w:id="3"/>
      </w:r>
      <w:r w:rsidR="006D390E" w:rsidRPr="00A10663">
        <w:rPr>
          <w:lang w:val="nl-NL"/>
        </w:rPr>
        <w:t xml:space="preserve"> </w:t>
      </w:r>
      <w:r w:rsidR="009D42B1" w:rsidRPr="00A10663">
        <w:rPr>
          <w:lang w:val="nl-NL"/>
        </w:rPr>
        <w:t xml:space="preserve">en het </w:t>
      </w:r>
      <w:r w:rsidR="00BC487F" w:rsidRPr="00A10663">
        <w:rPr>
          <w:lang w:val="nl-NL"/>
        </w:rPr>
        <w:t>Commissie</w:t>
      </w:r>
      <w:r w:rsidR="009D42B1" w:rsidRPr="00A10663">
        <w:rPr>
          <w:lang w:val="nl-NL"/>
        </w:rPr>
        <w:t xml:space="preserve"> advies uit 2021</w:t>
      </w:r>
      <w:r w:rsidR="00891DEE" w:rsidRPr="00A10663">
        <w:rPr>
          <w:rStyle w:val="FootnoteReference"/>
          <w:lang w:val="nl-NL"/>
        </w:rPr>
        <w:footnoteReference w:id="4"/>
      </w:r>
      <w:r w:rsidR="00273B77" w:rsidRPr="00A10663">
        <w:rPr>
          <w:lang w:val="nl-NL"/>
        </w:rPr>
        <w:t>, tenzij la</w:t>
      </w:r>
      <w:r w:rsidR="00BA6147" w:rsidRPr="00A10663">
        <w:rPr>
          <w:lang w:val="nl-NL"/>
        </w:rPr>
        <w:t>tere</w:t>
      </w:r>
      <w:r w:rsidR="00273B77" w:rsidRPr="00A10663">
        <w:rPr>
          <w:lang w:val="nl-NL"/>
        </w:rPr>
        <w:t xml:space="preserve"> inzichten hiervan afwijken</w:t>
      </w:r>
      <w:r w:rsidR="000D7149" w:rsidRPr="00A10663">
        <w:rPr>
          <w:lang w:val="nl-NL"/>
        </w:rPr>
        <w:t xml:space="preserve">. </w:t>
      </w:r>
      <w:r w:rsidR="00114EE8" w:rsidRPr="00A10663">
        <w:rPr>
          <w:lang w:val="nl-NL"/>
        </w:rPr>
        <w:t>D</w:t>
      </w:r>
      <w:r w:rsidR="000E0680" w:rsidRPr="00A10663">
        <w:rPr>
          <w:lang w:val="nl-NL"/>
        </w:rPr>
        <w:t>eze techni</w:t>
      </w:r>
      <w:r w:rsidR="007D4F2B" w:rsidRPr="00A10663">
        <w:rPr>
          <w:lang w:val="nl-NL"/>
        </w:rPr>
        <w:t>sche</w:t>
      </w:r>
      <w:r w:rsidR="000E0680" w:rsidRPr="00A10663">
        <w:rPr>
          <w:lang w:val="nl-NL"/>
        </w:rPr>
        <w:t xml:space="preserve"> specificati</w:t>
      </w:r>
      <w:r w:rsidR="007D4F2B" w:rsidRPr="00A10663">
        <w:rPr>
          <w:lang w:val="nl-NL"/>
        </w:rPr>
        <w:t>e</w:t>
      </w:r>
      <w:r w:rsidR="008D18D5" w:rsidRPr="00A10663">
        <w:rPr>
          <w:lang w:val="nl-NL"/>
        </w:rPr>
        <w:t xml:space="preserve"> geeft</w:t>
      </w:r>
      <w:r w:rsidR="004523E0" w:rsidRPr="00A10663">
        <w:rPr>
          <w:lang w:val="nl-NL"/>
        </w:rPr>
        <w:t xml:space="preserve"> dus</w:t>
      </w:r>
      <w:r w:rsidR="000E0680" w:rsidRPr="00A10663">
        <w:rPr>
          <w:lang w:val="nl-NL"/>
        </w:rPr>
        <w:t xml:space="preserve"> een voorlopig </w:t>
      </w:r>
      <w:r w:rsidR="008D18D5" w:rsidRPr="00A10663">
        <w:rPr>
          <w:lang w:val="nl-NL"/>
        </w:rPr>
        <w:t>beeld</w:t>
      </w:r>
      <w:r w:rsidR="004523E0" w:rsidRPr="00A10663">
        <w:rPr>
          <w:lang w:val="nl-NL"/>
        </w:rPr>
        <w:t xml:space="preserve"> van de</w:t>
      </w:r>
      <w:r w:rsidR="008D18D5" w:rsidRPr="00A10663">
        <w:rPr>
          <w:lang w:val="nl-NL"/>
        </w:rPr>
        <w:t xml:space="preserve"> </w:t>
      </w:r>
      <w:r w:rsidR="000106DB" w:rsidRPr="00A10663">
        <w:rPr>
          <w:lang w:val="nl-NL"/>
        </w:rPr>
        <w:t xml:space="preserve">impact </w:t>
      </w:r>
      <w:r w:rsidR="00DE284E" w:rsidRPr="00A10663">
        <w:rPr>
          <w:lang w:val="nl-NL"/>
        </w:rPr>
        <w:t xml:space="preserve">van de </w:t>
      </w:r>
      <w:r w:rsidR="008D18D5" w:rsidRPr="00A10663">
        <w:rPr>
          <w:lang w:val="nl-NL"/>
        </w:rPr>
        <w:t xml:space="preserve">wijzigingen in de Solvency II Review. </w:t>
      </w:r>
      <w:r w:rsidR="00FC7D92" w:rsidRPr="00A10663">
        <w:rPr>
          <w:lang w:val="nl-NL"/>
        </w:rPr>
        <w:t>D</w:t>
      </w:r>
      <w:r w:rsidR="00AE0188" w:rsidRPr="00A10663">
        <w:rPr>
          <w:lang w:val="nl-NL"/>
        </w:rPr>
        <w:t xml:space="preserve">e </w:t>
      </w:r>
      <w:r w:rsidR="005B024E" w:rsidRPr="00A10663">
        <w:rPr>
          <w:lang w:val="nl-NL"/>
        </w:rPr>
        <w:t>Commissie heeft</w:t>
      </w:r>
      <w:r w:rsidR="0060537B" w:rsidRPr="00A10663">
        <w:rPr>
          <w:lang w:val="nl-NL"/>
        </w:rPr>
        <w:t xml:space="preserve"> </w:t>
      </w:r>
      <w:r w:rsidR="00AE0188" w:rsidRPr="00A10663">
        <w:rPr>
          <w:lang w:val="nl-NL"/>
        </w:rPr>
        <w:t xml:space="preserve">de </w:t>
      </w:r>
      <w:r w:rsidR="00535FA9" w:rsidRPr="00A10663">
        <w:rPr>
          <w:lang w:val="nl-NL"/>
        </w:rPr>
        <w:t xml:space="preserve">publicatie van de </w:t>
      </w:r>
      <w:r w:rsidR="00A556DE" w:rsidRPr="00A10663">
        <w:rPr>
          <w:lang w:val="nl-NL"/>
        </w:rPr>
        <w:t>concept</w:t>
      </w:r>
      <w:r w:rsidR="006F121F" w:rsidRPr="00A10663">
        <w:rPr>
          <w:lang w:val="nl-NL"/>
        </w:rPr>
        <w:t>-</w:t>
      </w:r>
      <w:r w:rsidR="00A556DE" w:rsidRPr="00A10663">
        <w:rPr>
          <w:lang w:val="nl-NL"/>
        </w:rPr>
        <w:t>G</w:t>
      </w:r>
      <w:r w:rsidR="00AE0188" w:rsidRPr="00A10663">
        <w:rPr>
          <w:lang w:val="nl-NL"/>
        </w:rPr>
        <w:t xml:space="preserve">edelegeerde </w:t>
      </w:r>
      <w:r w:rsidR="00A556DE" w:rsidRPr="00A10663">
        <w:rPr>
          <w:lang w:val="nl-NL"/>
        </w:rPr>
        <w:t>V</w:t>
      </w:r>
      <w:r w:rsidR="00AE0188" w:rsidRPr="00A10663">
        <w:rPr>
          <w:lang w:val="nl-NL"/>
        </w:rPr>
        <w:t>erordening</w:t>
      </w:r>
      <w:r w:rsidR="007C0F9E" w:rsidRPr="00A10663">
        <w:rPr>
          <w:lang w:val="nl-NL"/>
        </w:rPr>
        <w:t xml:space="preserve"> </w:t>
      </w:r>
      <w:r w:rsidR="005B024E" w:rsidRPr="00A10663">
        <w:rPr>
          <w:lang w:val="nl-NL"/>
        </w:rPr>
        <w:t>gepland</w:t>
      </w:r>
      <w:r w:rsidR="00FC7D92" w:rsidRPr="00A10663">
        <w:rPr>
          <w:lang w:val="nl-NL"/>
        </w:rPr>
        <w:t xml:space="preserve"> voor </w:t>
      </w:r>
      <w:r w:rsidR="005B024E" w:rsidRPr="00A10663">
        <w:rPr>
          <w:lang w:val="nl-NL"/>
        </w:rPr>
        <w:t>2025</w:t>
      </w:r>
      <w:r w:rsidR="00FC7D92" w:rsidRPr="00A10663">
        <w:rPr>
          <w:lang w:val="nl-NL"/>
        </w:rPr>
        <w:t>Q</w:t>
      </w:r>
      <w:r w:rsidR="007D4F2B" w:rsidRPr="00A10663">
        <w:rPr>
          <w:lang w:val="nl-NL"/>
        </w:rPr>
        <w:t>2</w:t>
      </w:r>
      <w:r w:rsidR="00FC7D92" w:rsidRPr="00A10663">
        <w:rPr>
          <w:lang w:val="nl-NL"/>
        </w:rPr>
        <w:t xml:space="preserve">. </w:t>
      </w:r>
    </w:p>
    <w:p w14:paraId="0DE4E698" w14:textId="39460549" w:rsidR="00951979" w:rsidRPr="00A10663" w:rsidRDefault="00145F8F" w:rsidP="00BD6C7D">
      <w:pPr>
        <w:numPr>
          <w:ilvl w:val="0"/>
          <w:numId w:val="5"/>
        </w:numPr>
        <w:ind w:right="204" w:hanging="566"/>
        <w:rPr>
          <w:lang w:val="nl-NL"/>
        </w:rPr>
      </w:pPr>
      <w:r w:rsidRPr="00A10663">
        <w:rPr>
          <w:lang w:val="nl-NL"/>
        </w:rPr>
        <w:t>I</w:t>
      </w:r>
      <w:r w:rsidR="00A556DE" w:rsidRPr="00A10663">
        <w:rPr>
          <w:lang w:val="nl-NL"/>
        </w:rPr>
        <w:t xml:space="preserve">n </w:t>
      </w:r>
      <w:r w:rsidR="009F6138" w:rsidRPr="00A10663">
        <w:rPr>
          <w:lang w:val="nl-NL"/>
        </w:rPr>
        <w:t>de huidige</w:t>
      </w:r>
      <w:r w:rsidR="00A556DE" w:rsidRPr="00A10663">
        <w:rPr>
          <w:lang w:val="nl-NL"/>
        </w:rPr>
        <w:t xml:space="preserve"> uitvraag</w:t>
      </w:r>
      <w:r w:rsidR="002C063D" w:rsidRPr="00A10663">
        <w:rPr>
          <w:lang w:val="nl-NL"/>
        </w:rPr>
        <w:t xml:space="preserve"> </w:t>
      </w:r>
      <w:r w:rsidR="009F6138" w:rsidRPr="00A10663">
        <w:rPr>
          <w:lang w:val="nl-NL"/>
        </w:rPr>
        <w:t>wordt</w:t>
      </w:r>
      <w:r w:rsidR="00F43CA7" w:rsidRPr="00A10663">
        <w:rPr>
          <w:lang w:val="nl-NL"/>
        </w:rPr>
        <w:t xml:space="preserve"> </w:t>
      </w:r>
      <w:r w:rsidR="00A556DE" w:rsidRPr="00A10663">
        <w:rPr>
          <w:lang w:val="nl-NL"/>
        </w:rPr>
        <w:t xml:space="preserve">gewerkt met scenario’s </w:t>
      </w:r>
      <w:r w:rsidR="00454928" w:rsidRPr="00A10663">
        <w:rPr>
          <w:lang w:val="nl-NL"/>
        </w:rPr>
        <w:t xml:space="preserve">die </w:t>
      </w:r>
      <w:r w:rsidR="00A556DE" w:rsidRPr="00A10663">
        <w:rPr>
          <w:lang w:val="nl-NL"/>
        </w:rPr>
        <w:t>de meest waarschijnlijke beleidsopties</w:t>
      </w:r>
      <w:r w:rsidR="00454928" w:rsidRPr="00A10663">
        <w:rPr>
          <w:lang w:val="nl-NL"/>
        </w:rPr>
        <w:t xml:space="preserve"> bevatten</w:t>
      </w:r>
      <w:r w:rsidR="00A556DE" w:rsidRPr="00A10663">
        <w:rPr>
          <w:lang w:val="nl-NL"/>
        </w:rPr>
        <w:t>.</w:t>
      </w:r>
      <w:r w:rsidR="004547E7" w:rsidRPr="00A10663">
        <w:rPr>
          <w:lang w:val="nl-NL"/>
        </w:rPr>
        <w:t xml:space="preserve"> </w:t>
      </w:r>
      <w:r w:rsidR="009F6138" w:rsidRPr="00A10663">
        <w:rPr>
          <w:lang w:val="nl-NL"/>
        </w:rPr>
        <w:t>Dit kan nog veranderen.</w:t>
      </w:r>
      <w:r w:rsidR="004547E7" w:rsidRPr="00A10663">
        <w:rPr>
          <w:lang w:val="nl-NL"/>
        </w:rPr>
        <w:t xml:space="preserve"> De keuzes die </w:t>
      </w:r>
      <w:r w:rsidR="001E1331" w:rsidRPr="00A10663">
        <w:rPr>
          <w:lang w:val="nl-NL"/>
        </w:rPr>
        <w:t xml:space="preserve">hiervoor </w:t>
      </w:r>
      <w:r w:rsidR="00BE45EA" w:rsidRPr="00A10663">
        <w:rPr>
          <w:lang w:val="nl-NL"/>
        </w:rPr>
        <w:t>zijn</w:t>
      </w:r>
      <w:r w:rsidR="004547E7" w:rsidRPr="00A10663">
        <w:rPr>
          <w:lang w:val="nl-NL"/>
        </w:rPr>
        <w:t xml:space="preserve"> gemaakt</w:t>
      </w:r>
      <w:r w:rsidR="00454928" w:rsidRPr="00A10663">
        <w:rPr>
          <w:lang w:val="nl-NL"/>
        </w:rPr>
        <w:t>,</w:t>
      </w:r>
      <w:r w:rsidR="004547E7" w:rsidRPr="00A10663">
        <w:rPr>
          <w:lang w:val="nl-NL"/>
        </w:rPr>
        <w:t xml:space="preserve"> </w:t>
      </w:r>
      <w:r w:rsidR="006A553C" w:rsidRPr="00A10663">
        <w:rPr>
          <w:lang w:val="nl-NL"/>
        </w:rPr>
        <w:t>zijn geen verwachting of standpunt van DNB</w:t>
      </w:r>
      <w:r w:rsidR="00545FD9" w:rsidRPr="00A10663">
        <w:rPr>
          <w:lang w:val="nl-NL"/>
        </w:rPr>
        <w:t>.</w:t>
      </w:r>
    </w:p>
    <w:p w14:paraId="294123CC" w14:textId="10E20B73" w:rsidR="006A0125" w:rsidRPr="00A10663" w:rsidRDefault="00A41C52" w:rsidP="00337A89">
      <w:pPr>
        <w:numPr>
          <w:ilvl w:val="0"/>
          <w:numId w:val="5"/>
        </w:numPr>
        <w:ind w:right="204" w:hanging="566"/>
        <w:rPr>
          <w:lang w:val="nl-NL"/>
        </w:rPr>
      </w:pPr>
      <w:r w:rsidRPr="00A10663">
        <w:rPr>
          <w:lang w:val="nl-NL"/>
        </w:rPr>
        <w:t>D</w:t>
      </w:r>
      <w:r w:rsidR="00226CF8" w:rsidRPr="00A10663">
        <w:rPr>
          <w:lang w:val="nl-NL"/>
        </w:rPr>
        <w:t xml:space="preserve">e </w:t>
      </w:r>
      <w:r w:rsidR="00067D3D" w:rsidRPr="00A10663">
        <w:rPr>
          <w:lang w:val="nl-NL"/>
        </w:rPr>
        <w:t>sluitingsdatum</w:t>
      </w:r>
      <w:r w:rsidR="00226CF8" w:rsidRPr="00A10663">
        <w:rPr>
          <w:lang w:val="nl-NL"/>
        </w:rPr>
        <w:t xml:space="preserve"> voor </w:t>
      </w:r>
      <w:r w:rsidR="00BA6147" w:rsidRPr="00A10663">
        <w:rPr>
          <w:lang w:val="nl-NL"/>
        </w:rPr>
        <w:t xml:space="preserve">inzending van antwoorden op </w:t>
      </w:r>
      <w:r w:rsidR="00226CF8" w:rsidRPr="00A10663">
        <w:rPr>
          <w:lang w:val="nl-NL"/>
        </w:rPr>
        <w:t xml:space="preserve">deze uitvraag </w:t>
      </w:r>
      <w:r w:rsidR="005714BC" w:rsidRPr="00A10663">
        <w:rPr>
          <w:lang w:val="nl-NL"/>
        </w:rPr>
        <w:t>i</w:t>
      </w:r>
      <w:r w:rsidR="00112322" w:rsidRPr="00A10663">
        <w:rPr>
          <w:lang w:val="nl-NL"/>
        </w:rPr>
        <w:t>s</w:t>
      </w:r>
      <w:r w:rsidR="005714BC" w:rsidRPr="00A10663">
        <w:rPr>
          <w:lang w:val="nl-NL"/>
        </w:rPr>
        <w:t xml:space="preserve"> </w:t>
      </w:r>
      <w:r w:rsidR="005D09D5" w:rsidRPr="00A10663">
        <w:rPr>
          <w:lang w:val="nl-NL"/>
        </w:rPr>
        <w:t xml:space="preserve">vrijdag </w:t>
      </w:r>
      <w:r w:rsidR="00226CF8" w:rsidRPr="00A10663">
        <w:rPr>
          <w:lang w:val="nl-NL"/>
        </w:rPr>
        <w:t xml:space="preserve">30 </w:t>
      </w:r>
      <w:r w:rsidR="005D09D5" w:rsidRPr="00A10663">
        <w:rPr>
          <w:lang w:val="nl-NL"/>
        </w:rPr>
        <w:t xml:space="preserve">mei </w:t>
      </w:r>
      <w:r w:rsidR="00226CF8" w:rsidRPr="00A10663">
        <w:rPr>
          <w:lang w:val="nl-NL"/>
        </w:rPr>
        <w:t>2025.</w:t>
      </w:r>
      <w:r w:rsidR="00317DB9" w:rsidRPr="00A10663">
        <w:rPr>
          <w:lang w:val="nl-NL"/>
        </w:rPr>
        <w:t xml:space="preserve"> </w:t>
      </w:r>
      <w:r w:rsidR="00A37A3B" w:rsidRPr="00A10663">
        <w:rPr>
          <w:lang w:val="nl-NL"/>
        </w:rPr>
        <w:t>Verzekeraars kunnen dit via Mijn DNB indienen</w:t>
      </w:r>
      <w:r w:rsidR="006A0125" w:rsidRPr="00A10663">
        <w:rPr>
          <w:lang w:val="nl-NL"/>
        </w:rPr>
        <w:t>.</w:t>
      </w:r>
      <w:r w:rsidR="00A37A3B" w:rsidRPr="00A10663">
        <w:rPr>
          <w:lang w:val="nl-NL"/>
        </w:rPr>
        <w:t xml:space="preserve"> </w:t>
      </w:r>
      <w:r w:rsidR="006A0125" w:rsidRPr="00A10663">
        <w:rPr>
          <w:lang w:val="nl-NL"/>
        </w:rPr>
        <w:t xml:space="preserve"> De </w:t>
      </w:r>
      <w:r w:rsidR="00A37A3B" w:rsidRPr="00A10663">
        <w:rPr>
          <w:lang w:val="nl-NL"/>
        </w:rPr>
        <w:t xml:space="preserve">kwantitatieve resultaten </w:t>
      </w:r>
      <w:r w:rsidR="006A0125" w:rsidRPr="00A10663">
        <w:rPr>
          <w:lang w:val="nl-NL"/>
        </w:rPr>
        <w:t xml:space="preserve">kunnen worden ingediend </w:t>
      </w:r>
      <w:r w:rsidR="00A37A3B" w:rsidRPr="00A10663">
        <w:rPr>
          <w:lang w:val="nl-NL"/>
        </w:rPr>
        <w:t xml:space="preserve">via Dienst Rapportages </w:t>
      </w:r>
      <w:r w:rsidR="006A0125" w:rsidRPr="00A10663">
        <w:rPr>
          <w:lang w:val="nl-NL"/>
        </w:rPr>
        <w:t xml:space="preserve">en </w:t>
      </w:r>
      <w:r w:rsidR="00A37A3B" w:rsidRPr="00A10663">
        <w:rPr>
          <w:lang w:val="nl-NL"/>
        </w:rPr>
        <w:t>de kwalitatieve vragenlijst kan worden ingediend via Toezicht Uitvragen.</w:t>
      </w:r>
      <w:r w:rsidR="006A0125" w:rsidRPr="00A10663">
        <w:rPr>
          <w:lang w:val="nl-NL"/>
        </w:rPr>
        <w:t xml:space="preserve"> </w:t>
      </w:r>
    </w:p>
    <w:p w14:paraId="7650AE73" w14:textId="77777777" w:rsidR="000E2DA7" w:rsidRPr="00A10663" w:rsidRDefault="00D30484" w:rsidP="00337A89">
      <w:pPr>
        <w:numPr>
          <w:ilvl w:val="0"/>
          <w:numId w:val="5"/>
        </w:numPr>
        <w:ind w:right="204" w:hanging="566"/>
        <w:rPr>
          <w:lang w:val="nl-NL"/>
        </w:rPr>
      </w:pPr>
      <w:r w:rsidRPr="00A10663">
        <w:rPr>
          <w:lang w:val="nl-NL"/>
        </w:rPr>
        <w:t>Deelname aan deze uitvraag is vrijwillig</w:t>
      </w:r>
      <w:r w:rsidR="00FB65E8" w:rsidRPr="00A10663">
        <w:rPr>
          <w:lang w:val="nl-NL"/>
        </w:rPr>
        <w:t>.</w:t>
      </w:r>
      <w:r w:rsidRPr="00A10663">
        <w:rPr>
          <w:lang w:val="nl-NL"/>
        </w:rPr>
        <w:t xml:space="preserve"> </w:t>
      </w:r>
      <w:r w:rsidR="00166829" w:rsidRPr="00A10663">
        <w:rPr>
          <w:lang w:val="nl-NL"/>
        </w:rPr>
        <w:t xml:space="preserve">DNB roept alle verzekeraars op om </w:t>
      </w:r>
      <w:r w:rsidR="00FA2858" w:rsidRPr="00A10663">
        <w:rPr>
          <w:lang w:val="nl-NL"/>
        </w:rPr>
        <w:t>mee</w:t>
      </w:r>
      <w:r w:rsidR="00166829" w:rsidRPr="00A10663">
        <w:rPr>
          <w:lang w:val="nl-NL"/>
        </w:rPr>
        <w:t xml:space="preserve"> te </w:t>
      </w:r>
      <w:r w:rsidR="00FA2858" w:rsidRPr="00A10663">
        <w:rPr>
          <w:lang w:val="nl-NL"/>
        </w:rPr>
        <w:t>doen</w:t>
      </w:r>
      <w:r w:rsidR="00166829" w:rsidRPr="00A10663">
        <w:rPr>
          <w:lang w:val="nl-NL"/>
        </w:rPr>
        <w:t xml:space="preserve">. </w:t>
      </w:r>
      <w:r w:rsidR="00F907E6" w:rsidRPr="00A10663">
        <w:rPr>
          <w:lang w:val="nl-NL"/>
        </w:rPr>
        <w:t xml:space="preserve">DNB vindt het </w:t>
      </w:r>
      <w:r w:rsidR="00A558B5" w:rsidRPr="00A10663">
        <w:rPr>
          <w:lang w:val="nl-NL"/>
        </w:rPr>
        <w:t xml:space="preserve">namelijk </w:t>
      </w:r>
      <w:r w:rsidR="00F907E6" w:rsidRPr="00A10663">
        <w:rPr>
          <w:lang w:val="nl-NL"/>
        </w:rPr>
        <w:t>voor alle individuele verzekeringsentiteiten van belang dat zij inzicht hebben in de verwachte financiële impact</w:t>
      </w:r>
      <w:r w:rsidR="00344635" w:rsidRPr="00A10663">
        <w:rPr>
          <w:lang w:val="nl-NL"/>
        </w:rPr>
        <w:t xml:space="preserve"> en </w:t>
      </w:r>
      <w:r w:rsidR="004B4794" w:rsidRPr="00A10663">
        <w:rPr>
          <w:lang w:val="nl-NL"/>
        </w:rPr>
        <w:t xml:space="preserve">dat zij </w:t>
      </w:r>
      <w:r w:rsidR="00902986" w:rsidRPr="00A10663">
        <w:rPr>
          <w:lang w:val="nl-NL"/>
        </w:rPr>
        <w:t xml:space="preserve">zich </w:t>
      </w:r>
      <w:r w:rsidR="00344635" w:rsidRPr="00A10663">
        <w:rPr>
          <w:lang w:val="nl-NL"/>
        </w:rPr>
        <w:t>voorbereiden op</w:t>
      </w:r>
      <w:r w:rsidR="00F907E6" w:rsidRPr="00A10663">
        <w:rPr>
          <w:lang w:val="nl-NL"/>
        </w:rPr>
        <w:t xml:space="preserve"> de benodigde operationele en beleidsmatige wijzigingen. </w:t>
      </w:r>
    </w:p>
    <w:p w14:paraId="044F5A43" w14:textId="4C31D2D9" w:rsidR="00F907E6" w:rsidRPr="00A10663" w:rsidRDefault="004A1DF8" w:rsidP="00BD6C7D">
      <w:pPr>
        <w:numPr>
          <w:ilvl w:val="0"/>
          <w:numId w:val="5"/>
        </w:numPr>
        <w:ind w:right="204" w:hanging="566"/>
        <w:rPr>
          <w:lang w:val="nl-NL"/>
        </w:rPr>
      </w:pPr>
      <w:r w:rsidRPr="00A10663">
        <w:rPr>
          <w:lang w:val="nl-NL"/>
        </w:rPr>
        <w:t xml:space="preserve">Schadeverzekeraars met slechts kortlopende verplichtingen </w:t>
      </w:r>
      <w:r w:rsidR="00C96ACE" w:rsidRPr="00A10663">
        <w:rPr>
          <w:lang w:val="nl-NL"/>
        </w:rPr>
        <w:t xml:space="preserve">kunnen, </w:t>
      </w:r>
      <w:r w:rsidR="00BC67A6" w:rsidRPr="00A10663">
        <w:rPr>
          <w:lang w:val="nl-NL"/>
        </w:rPr>
        <w:t>in plaats van een doorrekening</w:t>
      </w:r>
      <w:r w:rsidR="00C96ACE" w:rsidRPr="00A10663">
        <w:rPr>
          <w:lang w:val="nl-NL"/>
        </w:rPr>
        <w:t>,</w:t>
      </w:r>
      <w:r w:rsidR="00BC67A6" w:rsidRPr="00A10663">
        <w:rPr>
          <w:lang w:val="nl-NL"/>
        </w:rPr>
        <w:t xml:space="preserve"> aangeven dat zij geen </w:t>
      </w:r>
      <w:r w:rsidR="009900CF" w:rsidRPr="00A10663">
        <w:rPr>
          <w:lang w:val="nl-NL"/>
        </w:rPr>
        <w:t xml:space="preserve">kwantitatieve </w:t>
      </w:r>
      <w:r w:rsidR="00BC67A6" w:rsidRPr="00A10663">
        <w:rPr>
          <w:lang w:val="nl-NL"/>
        </w:rPr>
        <w:t>impact verwachten</w:t>
      </w:r>
      <w:r w:rsidR="00866C19" w:rsidRPr="00A10663">
        <w:rPr>
          <w:lang w:val="nl-NL"/>
        </w:rPr>
        <w:t>.</w:t>
      </w:r>
      <w:r w:rsidR="007A3D4C" w:rsidRPr="00A10663">
        <w:rPr>
          <w:lang w:val="nl-NL"/>
        </w:rPr>
        <w:t xml:space="preserve"> </w:t>
      </w:r>
      <w:r w:rsidR="009264B7" w:rsidRPr="00A10663">
        <w:rPr>
          <w:lang w:val="nl-NL"/>
        </w:rPr>
        <w:t xml:space="preserve">Zij </w:t>
      </w:r>
      <w:r w:rsidR="00891057" w:rsidRPr="00A10663">
        <w:rPr>
          <w:lang w:val="nl-NL"/>
        </w:rPr>
        <w:t xml:space="preserve">beantwoorden dan alleen </w:t>
      </w:r>
      <w:r w:rsidR="00CF1A60" w:rsidRPr="00A10663">
        <w:rPr>
          <w:lang w:val="nl-NL"/>
        </w:rPr>
        <w:t xml:space="preserve">de vragen in </w:t>
      </w:r>
      <w:r w:rsidR="00891057" w:rsidRPr="00A10663">
        <w:rPr>
          <w:lang w:val="nl-NL"/>
        </w:rPr>
        <w:t xml:space="preserve">het </w:t>
      </w:r>
      <w:r w:rsidR="00B3526B" w:rsidRPr="00A10663">
        <w:rPr>
          <w:lang w:val="nl-NL"/>
        </w:rPr>
        <w:t>kw</w:t>
      </w:r>
      <w:r w:rsidR="00164816" w:rsidRPr="00A10663">
        <w:rPr>
          <w:lang w:val="nl-NL"/>
        </w:rPr>
        <w:t>al</w:t>
      </w:r>
      <w:r w:rsidR="00B3526B" w:rsidRPr="00A10663">
        <w:rPr>
          <w:lang w:val="nl-NL"/>
        </w:rPr>
        <w:t xml:space="preserve">itatieve </w:t>
      </w:r>
      <w:r w:rsidR="00891057" w:rsidRPr="00A10663">
        <w:rPr>
          <w:lang w:val="nl-NL"/>
        </w:rPr>
        <w:t>deel</w:t>
      </w:r>
      <w:r w:rsidR="00BC67A6" w:rsidRPr="00A10663">
        <w:rPr>
          <w:lang w:val="nl-NL"/>
        </w:rPr>
        <w:t>.</w:t>
      </w:r>
      <w:r w:rsidR="00374232" w:rsidRPr="00A10663">
        <w:rPr>
          <w:lang w:val="nl-NL"/>
        </w:rPr>
        <w:t xml:space="preserve"> </w:t>
      </w:r>
      <w:r w:rsidR="005A337C" w:rsidRPr="00A10663">
        <w:rPr>
          <w:b/>
          <w:bCs/>
          <w:lang w:val="nl-NL"/>
        </w:rPr>
        <w:t>Let op</w:t>
      </w:r>
      <w:r w:rsidR="005A337C" w:rsidRPr="00A10663">
        <w:rPr>
          <w:lang w:val="nl-NL"/>
        </w:rPr>
        <w:t>, ten opzichte van de geconsulteerde versie zijn</w:t>
      </w:r>
      <w:r w:rsidR="003913A1" w:rsidRPr="00A10663">
        <w:rPr>
          <w:lang w:val="nl-NL"/>
        </w:rPr>
        <w:t xml:space="preserve"> de door EIOPA voorgestelde aanpassingen aan de natuurlijke catastrofe</w:t>
      </w:r>
      <w:r w:rsidR="3322F009" w:rsidRPr="00A10663">
        <w:rPr>
          <w:lang w:val="nl-NL"/>
        </w:rPr>
        <w:t>-</w:t>
      </w:r>
      <w:r w:rsidR="003913A1" w:rsidRPr="00A10663">
        <w:rPr>
          <w:lang w:val="nl-NL"/>
        </w:rPr>
        <w:t xml:space="preserve">risicoparameters toegevoegd. </w:t>
      </w:r>
      <w:r w:rsidR="00AB45FB" w:rsidRPr="00A10663">
        <w:rPr>
          <w:lang w:val="nl-NL"/>
        </w:rPr>
        <w:t>DNB</w:t>
      </w:r>
      <w:r w:rsidR="00E260F9" w:rsidRPr="00A10663">
        <w:rPr>
          <w:lang w:val="nl-NL"/>
        </w:rPr>
        <w:t xml:space="preserve"> nodigt </w:t>
      </w:r>
      <w:r w:rsidR="00544E43" w:rsidRPr="00A10663">
        <w:rPr>
          <w:lang w:val="nl-NL"/>
        </w:rPr>
        <w:t xml:space="preserve">schadeverzekeraars </w:t>
      </w:r>
      <w:r w:rsidR="00E260F9" w:rsidRPr="00A10663">
        <w:rPr>
          <w:lang w:val="nl-NL"/>
        </w:rPr>
        <w:t>uit</w:t>
      </w:r>
      <w:r w:rsidR="00FE33E8" w:rsidRPr="00A10663">
        <w:rPr>
          <w:lang w:val="nl-NL"/>
        </w:rPr>
        <w:t xml:space="preserve"> om </w:t>
      </w:r>
      <w:r w:rsidR="00544E43" w:rsidRPr="00A10663">
        <w:rPr>
          <w:lang w:val="nl-NL"/>
        </w:rPr>
        <w:t>de</w:t>
      </w:r>
      <w:r w:rsidR="00FE33E8" w:rsidRPr="00A10663">
        <w:rPr>
          <w:lang w:val="nl-NL"/>
        </w:rPr>
        <w:t xml:space="preserve"> kwantitatieve </w:t>
      </w:r>
      <w:r w:rsidR="00544E43" w:rsidRPr="00A10663">
        <w:rPr>
          <w:lang w:val="nl-NL"/>
        </w:rPr>
        <w:t xml:space="preserve">impact </w:t>
      </w:r>
      <w:proofErr w:type="spellStart"/>
      <w:r w:rsidR="003913A1" w:rsidRPr="00A10663">
        <w:rPr>
          <w:lang w:val="nl-NL"/>
        </w:rPr>
        <w:t>impact</w:t>
      </w:r>
      <w:proofErr w:type="spellEnd"/>
      <w:r w:rsidR="003913A1" w:rsidRPr="00A10663">
        <w:rPr>
          <w:lang w:val="nl-NL"/>
        </w:rPr>
        <w:t xml:space="preserve"> vast te stellen</w:t>
      </w:r>
      <w:r w:rsidR="00544E43" w:rsidRPr="00A10663">
        <w:rPr>
          <w:lang w:val="nl-NL"/>
        </w:rPr>
        <w:t xml:space="preserve">. </w:t>
      </w:r>
      <w:r w:rsidR="00224EEA" w:rsidRPr="00A10663">
        <w:rPr>
          <w:lang w:val="nl-NL"/>
        </w:rPr>
        <w:t xml:space="preserve">Het </w:t>
      </w:r>
      <w:r w:rsidR="00F907E6" w:rsidRPr="00A10663">
        <w:rPr>
          <w:lang w:val="nl-NL"/>
        </w:rPr>
        <w:t xml:space="preserve">kwantitatieve </w:t>
      </w:r>
      <w:r w:rsidR="00224EEA" w:rsidRPr="00A10663">
        <w:rPr>
          <w:lang w:val="nl-NL"/>
        </w:rPr>
        <w:t>deel</w:t>
      </w:r>
      <w:r w:rsidR="00F907E6" w:rsidRPr="00A10663">
        <w:rPr>
          <w:lang w:val="nl-NL"/>
        </w:rPr>
        <w:t xml:space="preserve"> richt zich </w:t>
      </w:r>
      <w:r w:rsidR="000760E1" w:rsidRPr="00A10663">
        <w:rPr>
          <w:lang w:val="nl-NL"/>
        </w:rPr>
        <w:t>alleen op solo-</w:t>
      </w:r>
      <w:r w:rsidR="00891057" w:rsidRPr="00A10663">
        <w:rPr>
          <w:lang w:val="nl-NL"/>
        </w:rPr>
        <w:t>entiteiten</w:t>
      </w:r>
      <w:r w:rsidR="000760E1" w:rsidRPr="00A10663">
        <w:rPr>
          <w:lang w:val="nl-NL"/>
        </w:rPr>
        <w:t xml:space="preserve"> en </w:t>
      </w:r>
      <w:r w:rsidR="00F907E6" w:rsidRPr="00A10663">
        <w:rPr>
          <w:lang w:val="nl-NL"/>
        </w:rPr>
        <w:t>niet op groepsentiteiten.</w:t>
      </w:r>
    </w:p>
    <w:p w14:paraId="302259EB" w14:textId="1293CC61" w:rsidR="00A5437F" w:rsidRPr="00A10663" w:rsidRDefault="003913A1" w:rsidP="00BD6C7D">
      <w:pPr>
        <w:numPr>
          <w:ilvl w:val="0"/>
          <w:numId w:val="5"/>
        </w:numPr>
        <w:ind w:right="204" w:hanging="566"/>
        <w:rPr>
          <w:lang w:val="nl-NL"/>
        </w:rPr>
      </w:pPr>
      <w:r w:rsidRPr="00A10663">
        <w:rPr>
          <w:b/>
          <w:bCs/>
          <w:lang w:val="nl-NL"/>
        </w:rPr>
        <w:t>Terugkoppeling</w:t>
      </w:r>
      <w:r w:rsidRPr="00A10663">
        <w:rPr>
          <w:lang w:val="nl-NL"/>
        </w:rPr>
        <w:t>: DNB zal geen</w:t>
      </w:r>
      <w:r w:rsidR="000751D1" w:rsidRPr="00A10663">
        <w:rPr>
          <w:lang w:val="nl-NL"/>
        </w:rPr>
        <w:t xml:space="preserve"> kwantitatieve resultaten opnemen in een</w:t>
      </w:r>
      <w:r w:rsidRPr="00A10663">
        <w:rPr>
          <w:lang w:val="nl-NL"/>
        </w:rPr>
        <w:t xml:space="preserve"> publieke terugkoppeling of persbericht. </w:t>
      </w:r>
      <w:r w:rsidR="00A5437F" w:rsidRPr="00A10663">
        <w:rPr>
          <w:lang w:val="nl-NL"/>
        </w:rPr>
        <w:t xml:space="preserve">DNB </w:t>
      </w:r>
      <w:r w:rsidR="004229AD" w:rsidRPr="00A10663">
        <w:rPr>
          <w:lang w:val="nl-NL"/>
        </w:rPr>
        <w:t>z</w:t>
      </w:r>
      <w:r w:rsidR="00A5437F" w:rsidRPr="00A10663">
        <w:rPr>
          <w:lang w:val="nl-NL"/>
        </w:rPr>
        <w:t xml:space="preserve">al </w:t>
      </w:r>
      <w:r w:rsidR="00C21E64" w:rsidRPr="00A10663">
        <w:rPr>
          <w:lang w:val="nl-NL"/>
        </w:rPr>
        <w:t xml:space="preserve">een terugkoppeling met geaggregeerde resultaten </w:t>
      </w:r>
      <w:r w:rsidR="00BF3FB4" w:rsidRPr="00A10663">
        <w:rPr>
          <w:lang w:val="nl-NL"/>
        </w:rPr>
        <w:t>aan</w:t>
      </w:r>
      <w:r w:rsidRPr="00A10663">
        <w:rPr>
          <w:lang w:val="nl-NL"/>
        </w:rPr>
        <w:t xml:space="preserve"> de deelnemende</w:t>
      </w:r>
      <w:r w:rsidR="00BF3FB4" w:rsidRPr="00A10663">
        <w:rPr>
          <w:lang w:val="nl-NL"/>
        </w:rPr>
        <w:t xml:space="preserve"> verzekeraars verzorgen</w:t>
      </w:r>
      <w:r w:rsidR="00C2566F" w:rsidRPr="00A10663">
        <w:rPr>
          <w:lang w:val="nl-NL"/>
        </w:rPr>
        <w:t xml:space="preserve">. De vorm </w:t>
      </w:r>
      <w:r w:rsidR="005E206E" w:rsidRPr="00A10663">
        <w:rPr>
          <w:lang w:val="nl-NL"/>
        </w:rPr>
        <w:t>w</w:t>
      </w:r>
      <w:r w:rsidR="009D3D05" w:rsidRPr="00A10663">
        <w:rPr>
          <w:lang w:val="nl-NL"/>
        </w:rPr>
        <w:t xml:space="preserve">aarin dit gebeurt </w:t>
      </w:r>
      <w:r w:rsidR="005E206E" w:rsidRPr="00A10663">
        <w:rPr>
          <w:lang w:val="nl-NL"/>
        </w:rPr>
        <w:t>wordt later bepaald</w:t>
      </w:r>
      <w:r w:rsidR="00BF3FB4" w:rsidRPr="00A10663">
        <w:rPr>
          <w:lang w:val="nl-NL"/>
        </w:rPr>
        <w:t>.</w:t>
      </w:r>
      <w:r w:rsidR="00A5437F" w:rsidRPr="00A10663">
        <w:rPr>
          <w:lang w:val="nl-NL"/>
        </w:rPr>
        <w:t xml:space="preserve"> </w:t>
      </w:r>
    </w:p>
    <w:p w14:paraId="7550E740" w14:textId="2E72BB1B" w:rsidR="000A280B" w:rsidRPr="00A10663" w:rsidRDefault="000A280B" w:rsidP="00BD6C7D">
      <w:pPr>
        <w:numPr>
          <w:ilvl w:val="0"/>
          <w:numId w:val="5"/>
        </w:numPr>
        <w:ind w:right="204" w:hanging="566"/>
        <w:jc w:val="left"/>
        <w:rPr>
          <w:lang w:val="nl-NL"/>
        </w:rPr>
      </w:pPr>
      <w:r w:rsidRPr="00A10663">
        <w:rPr>
          <w:lang w:val="nl-NL"/>
        </w:rPr>
        <w:t>De specificaties en</w:t>
      </w:r>
      <w:r w:rsidR="007813AF" w:rsidRPr="00A10663">
        <w:rPr>
          <w:lang w:val="nl-NL"/>
        </w:rPr>
        <w:t xml:space="preserve"> het formulier sluiten zoveel mogelijk aan op de </w:t>
      </w:r>
      <w:proofErr w:type="spellStart"/>
      <w:r w:rsidR="007813AF" w:rsidRPr="00A10663">
        <w:rPr>
          <w:lang w:val="nl-NL"/>
        </w:rPr>
        <w:t>Holistic</w:t>
      </w:r>
      <w:proofErr w:type="spellEnd"/>
      <w:r w:rsidR="007813AF" w:rsidRPr="00A10663">
        <w:rPr>
          <w:lang w:val="nl-NL"/>
        </w:rPr>
        <w:t xml:space="preserve"> Impact Assessment </w:t>
      </w:r>
      <w:r w:rsidR="00F21896" w:rsidRPr="00A10663">
        <w:rPr>
          <w:lang w:val="nl-NL"/>
        </w:rPr>
        <w:t xml:space="preserve">(HIA) </w:t>
      </w:r>
      <w:r w:rsidR="007813AF" w:rsidRPr="00A10663">
        <w:rPr>
          <w:lang w:val="nl-NL"/>
        </w:rPr>
        <w:t>door EIOPA in 2020</w:t>
      </w:r>
      <w:r w:rsidR="00353DBD" w:rsidRPr="00A10663">
        <w:rPr>
          <w:rStyle w:val="FootnoteReference"/>
          <w:lang w:val="nl-NL"/>
        </w:rPr>
        <w:footnoteReference w:id="5"/>
      </w:r>
      <w:r w:rsidR="000A561C" w:rsidRPr="00A10663">
        <w:rPr>
          <w:lang w:val="nl-NL"/>
        </w:rPr>
        <w:t>.</w:t>
      </w:r>
      <w:r w:rsidR="007813AF" w:rsidRPr="00A10663">
        <w:rPr>
          <w:lang w:val="nl-NL"/>
        </w:rPr>
        <w:t xml:space="preserve"> Daarom is </w:t>
      </w:r>
      <w:r w:rsidR="00224EEA" w:rsidRPr="00A10663">
        <w:rPr>
          <w:lang w:val="nl-NL"/>
        </w:rPr>
        <w:t>het vervolg</w:t>
      </w:r>
      <w:r w:rsidR="007813AF" w:rsidRPr="00A10663">
        <w:rPr>
          <w:lang w:val="nl-NL"/>
        </w:rPr>
        <w:t xml:space="preserve"> </w:t>
      </w:r>
      <w:r w:rsidR="00430D80" w:rsidRPr="00A10663">
        <w:rPr>
          <w:lang w:val="nl-NL"/>
        </w:rPr>
        <w:t xml:space="preserve">van dit document </w:t>
      </w:r>
      <w:r w:rsidR="00353DBD" w:rsidRPr="00A10663">
        <w:rPr>
          <w:lang w:val="nl-NL"/>
        </w:rPr>
        <w:t xml:space="preserve">opgesteld </w:t>
      </w:r>
      <w:r w:rsidR="00430D80" w:rsidRPr="00A10663">
        <w:rPr>
          <w:lang w:val="nl-NL"/>
        </w:rPr>
        <w:t>in het Engels.</w:t>
      </w:r>
    </w:p>
    <w:p w14:paraId="7DA3FBD2" w14:textId="29A21CF1" w:rsidR="002B3376" w:rsidRPr="00A10663" w:rsidRDefault="00530398" w:rsidP="00AB4E50">
      <w:pPr>
        <w:pStyle w:val="Heading1"/>
        <w:ind w:left="0"/>
      </w:pPr>
      <w:bookmarkStart w:id="2" w:name="_Toc190205697"/>
      <w:bookmarkStart w:id="3" w:name="_Toc190338546"/>
      <w:r w:rsidRPr="00A10663">
        <w:t>2</w:t>
      </w:r>
      <w:r w:rsidR="000C4AB1" w:rsidRPr="00A10663">
        <w:t>.</w:t>
      </w:r>
      <w:r w:rsidR="000C4AB1" w:rsidRPr="00A10663">
        <w:rPr>
          <w:rFonts w:eastAsia="Arial" w:cs="Arial"/>
        </w:rPr>
        <w:t xml:space="preserve"> </w:t>
      </w:r>
      <w:r w:rsidR="000C4AB1" w:rsidRPr="00A10663">
        <w:t>General approach of the information request</w:t>
      </w:r>
      <w:bookmarkEnd w:id="2"/>
      <w:bookmarkEnd w:id="3"/>
      <w:r w:rsidR="000C4AB1" w:rsidRPr="00A10663">
        <w:t xml:space="preserve">  </w:t>
      </w:r>
    </w:p>
    <w:p w14:paraId="21C7F531" w14:textId="4B3A2CC3" w:rsidR="0040000A" w:rsidRPr="00A10663" w:rsidRDefault="00AD784E" w:rsidP="005436E2">
      <w:pPr>
        <w:numPr>
          <w:ilvl w:val="0"/>
          <w:numId w:val="5"/>
        </w:numPr>
        <w:ind w:right="204" w:hanging="566"/>
      </w:pPr>
      <w:r w:rsidRPr="00A10663">
        <w:t xml:space="preserve">The quantitative </w:t>
      </w:r>
      <w:r w:rsidR="005715AC" w:rsidRPr="00A10663">
        <w:t xml:space="preserve">results should be reported </w:t>
      </w:r>
      <w:r w:rsidRPr="00A10663">
        <w:t xml:space="preserve">is an Excel file named “Reporting template DNB impact assessment”. </w:t>
      </w:r>
      <w:r w:rsidR="00771896" w:rsidRPr="00A10663">
        <w:t>Next to this Technical Specification document,</w:t>
      </w:r>
      <w:r w:rsidRPr="00A10663">
        <w:t xml:space="preserve"> two additional Excel files </w:t>
      </w:r>
      <w:r w:rsidR="00771896" w:rsidRPr="00A10663">
        <w:t>are provided. These files</w:t>
      </w:r>
      <w:r w:rsidRPr="00A10663">
        <w:t xml:space="preserve"> </w:t>
      </w:r>
      <w:r w:rsidR="00771896" w:rsidRPr="00A10663">
        <w:t>provide</w:t>
      </w:r>
      <w:r w:rsidRPr="00A10663">
        <w:t xml:space="preserve"> technical information</w:t>
      </w:r>
      <w:r w:rsidR="00893E25" w:rsidRPr="00A10663">
        <w:t xml:space="preserve"> </w:t>
      </w:r>
      <w:r w:rsidR="00771896" w:rsidRPr="00A10663">
        <w:t>on interest rate curves</w:t>
      </w:r>
      <w:r w:rsidR="00893E25" w:rsidRPr="00A10663">
        <w:t xml:space="preserve"> and details </w:t>
      </w:r>
      <w:r w:rsidR="0066458F" w:rsidRPr="00A10663">
        <w:t xml:space="preserve">regarding </w:t>
      </w:r>
      <w:r w:rsidR="00771896" w:rsidRPr="00A10663">
        <w:t>standard formula</w:t>
      </w:r>
      <w:r w:rsidR="0066458F" w:rsidRPr="00A10663">
        <w:t xml:space="preserve"> </w:t>
      </w:r>
      <w:r w:rsidR="00893E25" w:rsidRPr="00A10663">
        <w:t>natural catastrophe</w:t>
      </w:r>
      <w:r w:rsidR="00771896" w:rsidRPr="00A10663">
        <w:t xml:space="preserve"> </w:t>
      </w:r>
      <w:r w:rsidR="00771896" w:rsidRPr="00A10663">
        <w:lastRenderedPageBreak/>
        <w:t>risk</w:t>
      </w:r>
      <w:r w:rsidRPr="00A10663">
        <w:t xml:space="preserve">: “Technical information” and “2023 2024 Reassessment Exercise of </w:t>
      </w:r>
      <w:proofErr w:type="spellStart"/>
      <w:r w:rsidRPr="00A10663">
        <w:t>natcat</w:t>
      </w:r>
      <w:proofErr w:type="spellEnd"/>
      <w:r w:rsidRPr="00A10663">
        <w:t xml:space="preserve"> risks - Zonal </w:t>
      </w:r>
      <w:proofErr w:type="spellStart"/>
      <w:r w:rsidRPr="00A10663">
        <w:t>Calibration_all</w:t>
      </w:r>
      <w:proofErr w:type="spellEnd"/>
      <w:r w:rsidRPr="00A10663">
        <w:t>”.</w:t>
      </w:r>
    </w:p>
    <w:p w14:paraId="1700A8C5" w14:textId="11D417D3" w:rsidR="002B3376" w:rsidRPr="00A10663" w:rsidRDefault="00711800" w:rsidP="00BD6C7D">
      <w:pPr>
        <w:numPr>
          <w:ilvl w:val="0"/>
          <w:numId w:val="5"/>
        </w:numPr>
        <w:ind w:right="204" w:hanging="566"/>
      </w:pPr>
      <w:r w:rsidRPr="00A10663">
        <w:rPr>
          <w:b/>
          <w:bCs/>
        </w:rPr>
        <w:t>Scenarios</w:t>
      </w:r>
      <w:r w:rsidRPr="00A10663">
        <w:t xml:space="preserve">: </w:t>
      </w:r>
      <w:r w:rsidR="000C4AB1" w:rsidRPr="00A10663">
        <w:t xml:space="preserve">Participants are requested to provide information </w:t>
      </w:r>
      <w:r w:rsidR="000C353E" w:rsidRPr="00A10663">
        <w:t>in the reporting template</w:t>
      </w:r>
      <w:r w:rsidR="000C4AB1" w:rsidRPr="00A10663">
        <w:t xml:space="preserve"> on their solvency position in accordance with </w:t>
      </w:r>
      <w:r w:rsidR="008B7279" w:rsidRPr="00A10663">
        <w:t xml:space="preserve">two </w:t>
      </w:r>
      <w:r w:rsidR="000C4AB1" w:rsidRPr="00A10663">
        <w:t xml:space="preserve">scenarios: </w:t>
      </w:r>
    </w:p>
    <w:p w14:paraId="70E3E125" w14:textId="79CF2637" w:rsidR="00D90029" w:rsidRPr="00A10663" w:rsidRDefault="000C4AB1" w:rsidP="00BD6C7D">
      <w:pPr>
        <w:numPr>
          <w:ilvl w:val="1"/>
          <w:numId w:val="5"/>
        </w:numPr>
        <w:spacing w:after="114"/>
        <w:ind w:right="204" w:hanging="360"/>
      </w:pPr>
      <w:r w:rsidRPr="00A10663">
        <w:rPr>
          <w:b/>
          <w:bCs/>
        </w:rPr>
        <w:t>Baseline scenario</w:t>
      </w:r>
      <w:r w:rsidRPr="00A10663">
        <w:t xml:space="preserve">: the </w:t>
      </w:r>
      <w:r w:rsidRPr="00A10663" w:rsidDel="00551313">
        <w:t xml:space="preserve">current </w:t>
      </w:r>
      <w:r w:rsidR="00BB4F81" w:rsidRPr="00A10663">
        <w:t>framework for Solvency II</w:t>
      </w:r>
      <w:r w:rsidR="00561D1E" w:rsidRPr="00A10663">
        <w:t xml:space="preserve"> based on Directive </w:t>
      </w:r>
      <w:r w:rsidR="00FE4481" w:rsidRPr="00A10663">
        <w:t>2009/138/EC</w:t>
      </w:r>
    </w:p>
    <w:p w14:paraId="78F64481" w14:textId="48706E1B" w:rsidR="002B3376" w:rsidRPr="00A10663" w:rsidRDefault="007070CE" w:rsidP="00BD6C7D">
      <w:pPr>
        <w:numPr>
          <w:ilvl w:val="1"/>
          <w:numId w:val="5"/>
        </w:numPr>
        <w:spacing w:after="114"/>
        <w:ind w:right="204" w:hanging="360"/>
        <w:jc w:val="left"/>
      </w:pPr>
      <w:r w:rsidRPr="00A10663">
        <w:rPr>
          <w:b/>
          <w:bCs/>
        </w:rPr>
        <w:t>Expected new regime</w:t>
      </w:r>
      <w:r w:rsidR="000C4AB1" w:rsidRPr="00A10663">
        <w:t xml:space="preserve">: the </w:t>
      </w:r>
      <w:r w:rsidR="00551313" w:rsidRPr="00A10663">
        <w:t>new</w:t>
      </w:r>
      <w:r w:rsidR="000C4AB1" w:rsidRPr="00A10663">
        <w:t xml:space="preserve"> framework for Solvency II </w:t>
      </w:r>
      <w:r w:rsidR="00551313" w:rsidRPr="00A10663">
        <w:t>based on the</w:t>
      </w:r>
      <w:r w:rsidR="00AF4EB2" w:rsidRPr="00A10663">
        <w:t xml:space="preserve"> </w:t>
      </w:r>
      <w:r w:rsidR="001B531A" w:rsidRPr="00A10663">
        <w:t xml:space="preserve">text adopted by </w:t>
      </w:r>
      <w:r w:rsidR="00AF4EB2" w:rsidRPr="00A10663">
        <w:t xml:space="preserve">Council </w:t>
      </w:r>
      <w:r w:rsidR="001B531A" w:rsidRPr="00A10663">
        <w:t>of the E</w:t>
      </w:r>
      <w:r w:rsidR="00267D27" w:rsidRPr="00A10663">
        <w:t xml:space="preserve">U </w:t>
      </w:r>
      <w:r w:rsidR="00AF4EB2" w:rsidRPr="00A10663">
        <w:t xml:space="preserve">and the </w:t>
      </w:r>
      <w:r w:rsidR="004A3061" w:rsidRPr="00A10663">
        <w:t xml:space="preserve">European </w:t>
      </w:r>
      <w:r w:rsidR="00AF4EB2" w:rsidRPr="00A10663">
        <w:t xml:space="preserve">Parliament on amendments to the Solvency II </w:t>
      </w:r>
      <w:r w:rsidR="00C51143" w:rsidRPr="00A10663">
        <w:t>D</w:t>
      </w:r>
      <w:r w:rsidR="00AF4EB2" w:rsidRPr="00A10663">
        <w:t>irective</w:t>
      </w:r>
      <w:r w:rsidR="006B064E" w:rsidRPr="00A10663">
        <w:t xml:space="preserve"> (</w:t>
      </w:r>
      <w:hyperlink r:id="rId12" w:history="1">
        <w:r w:rsidR="006B064E" w:rsidRPr="00A10663">
          <w:rPr>
            <w:rStyle w:val="Hyperlink"/>
          </w:rPr>
          <w:t>https://data.consilium.europa.eu/doc/document/ST-5481-2024-INIT/en/pdf</w:t>
        </w:r>
      </w:hyperlink>
      <w:r w:rsidR="006B064E" w:rsidRPr="00A10663">
        <w:t>)</w:t>
      </w:r>
      <w:r w:rsidR="009B74D8" w:rsidRPr="00A10663">
        <w:t>, the 2020 EIOPA opinion (</w:t>
      </w:r>
      <w:hyperlink r:id="rId13" w:history="1">
        <w:r w:rsidR="006C6723" w:rsidRPr="00A10663">
          <w:rPr>
            <w:rStyle w:val="Hyperlink"/>
          </w:rPr>
          <w:t>https://www.eiopa.europa.eu/document/download/3c7759d5-a97a-4bc4-bfae-875c5d460d56_en?filename=Opinion%20on%20the%202020%20review%20of%20Solvency%20II.pdf</w:t>
        </w:r>
      </w:hyperlink>
      <w:r w:rsidR="006B064E" w:rsidRPr="00A10663">
        <w:t>)</w:t>
      </w:r>
      <w:r w:rsidR="004B6F4C" w:rsidRPr="00A10663">
        <w:t xml:space="preserve"> and the 2021 Commission advice to the </w:t>
      </w:r>
      <w:r w:rsidR="00AD3052" w:rsidRPr="00A10663">
        <w:t xml:space="preserve">Parliament and the council </w:t>
      </w:r>
      <w:r w:rsidR="00E86323" w:rsidRPr="00A10663">
        <w:t>on Level 2</w:t>
      </w:r>
      <w:r w:rsidR="00F02BDB" w:rsidRPr="00A10663">
        <w:t xml:space="preserve"> </w:t>
      </w:r>
      <w:r w:rsidR="00AD3052" w:rsidRPr="00A10663">
        <w:t>(</w:t>
      </w:r>
      <w:hyperlink r:id="rId14" w:history="1">
        <w:r w:rsidR="00AD3052" w:rsidRPr="00A10663">
          <w:rPr>
            <w:rStyle w:val="Hyperlink"/>
          </w:rPr>
          <w:t>eur-lex.europa.eu/legal-content/EN/TXT/PDF/?uri=CELEX:52021DC0580</w:t>
        </w:r>
      </w:hyperlink>
      <w:r w:rsidR="00AD3052" w:rsidRPr="00A10663">
        <w:t>)</w:t>
      </w:r>
    </w:p>
    <w:p w14:paraId="6AA3E9F2" w14:textId="05CC8EFC" w:rsidR="00A9625E" w:rsidRPr="00A10663" w:rsidRDefault="00A36EA2" w:rsidP="00880236">
      <w:pPr>
        <w:spacing w:after="114"/>
        <w:ind w:left="566" w:right="204" w:firstLine="0"/>
        <w:jc w:val="left"/>
      </w:pPr>
      <w:r w:rsidRPr="00A10663">
        <w:t>The</w:t>
      </w:r>
      <w:r w:rsidR="00AF2317" w:rsidRPr="00A10663">
        <w:t xml:space="preserve"> information for these scenarios can </w:t>
      </w:r>
      <w:r w:rsidR="00F0190A" w:rsidRPr="00A10663">
        <w:t xml:space="preserve">be found in the file </w:t>
      </w:r>
      <w:r w:rsidRPr="00A10663">
        <w:rPr>
          <w:b/>
          <w:bCs/>
        </w:rPr>
        <w:t>“</w:t>
      </w:r>
      <w:r w:rsidR="00F0190A" w:rsidRPr="00A10663">
        <w:rPr>
          <w:b/>
          <w:bCs/>
        </w:rPr>
        <w:t>Technical</w:t>
      </w:r>
      <w:r w:rsidR="00D92D41" w:rsidRPr="00A10663">
        <w:rPr>
          <w:b/>
          <w:bCs/>
        </w:rPr>
        <w:t xml:space="preserve"> </w:t>
      </w:r>
      <w:r w:rsidR="00F0190A" w:rsidRPr="00A10663">
        <w:rPr>
          <w:b/>
          <w:bCs/>
        </w:rPr>
        <w:t>information</w:t>
      </w:r>
      <w:r w:rsidRPr="00A10663">
        <w:rPr>
          <w:b/>
          <w:bCs/>
        </w:rPr>
        <w:t>”</w:t>
      </w:r>
      <w:r w:rsidR="00F0190A" w:rsidRPr="00A10663">
        <w:t>,</w:t>
      </w:r>
      <w:r w:rsidR="00F0190A" w:rsidRPr="00A10663">
        <w:rPr>
          <w:b/>
          <w:bCs/>
        </w:rPr>
        <w:t xml:space="preserve"> </w:t>
      </w:r>
      <w:r w:rsidR="00F0190A" w:rsidRPr="00A10663">
        <w:t>which is provided alongside with this impact assessment.</w:t>
      </w:r>
    </w:p>
    <w:p w14:paraId="173B029D" w14:textId="598E5330" w:rsidR="00711800" w:rsidRPr="00A10663" w:rsidRDefault="00711800" w:rsidP="00711800">
      <w:pPr>
        <w:numPr>
          <w:ilvl w:val="0"/>
          <w:numId w:val="5"/>
        </w:numPr>
        <w:ind w:right="204" w:hanging="566"/>
      </w:pPr>
      <w:r w:rsidRPr="00A10663">
        <w:rPr>
          <w:b/>
          <w:bCs/>
        </w:rPr>
        <w:t>Additional interest rate scenarios</w:t>
      </w:r>
      <w:r w:rsidRPr="00A10663">
        <w:t>: Insurers participating in the impact assessment can voluntarily calculate two additional interest rate scenarios (</w:t>
      </w:r>
      <w:r w:rsidR="007B7830" w:rsidRPr="00A10663">
        <w:t>interest rate curve</w:t>
      </w:r>
      <w:r w:rsidR="00E6265A" w:rsidRPr="00A10663">
        <w:t xml:space="preserve"> </w:t>
      </w:r>
      <w:r w:rsidR="005D7320" w:rsidRPr="00A10663">
        <w:t>YE2024</w:t>
      </w:r>
      <w:r w:rsidR="00E6265A" w:rsidRPr="00A10663">
        <w:t xml:space="preserve"> </w:t>
      </w:r>
      <w:r w:rsidRPr="00A10663">
        <w:t xml:space="preserve">+/- 100bps). A recalculation of the baseline scenario </w:t>
      </w:r>
      <w:r w:rsidR="00272B1E" w:rsidRPr="00A10663">
        <w:t xml:space="preserve">under the current </w:t>
      </w:r>
      <w:r w:rsidR="0055238B" w:rsidRPr="00A10663">
        <w:t xml:space="preserve">Solvency II </w:t>
      </w:r>
      <w:r w:rsidR="00272B1E" w:rsidRPr="00A10663">
        <w:t xml:space="preserve">regime but under </w:t>
      </w:r>
      <w:r w:rsidR="00921635" w:rsidRPr="00A10663">
        <w:t>the different interest rate environment</w:t>
      </w:r>
      <w:r w:rsidRPr="00A10663">
        <w:t xml:space="preserve"> is then also required. Information for two additional interest rate scenarios </w:t>
      </w:r>
      <w:r w:rsidR="007B7830" w:rsidRPr="00A10663">
        <w:t xml:space="preserve">for both the current framework and the expected new regime </w:t>
      </w:r>
      <w:r w:rsidR="00F742DF" w:rsidRPr="00A10663">
        <w:t>is</w:t>
      </w:r>
      <w:r w:rsidRPr="00A10663">
        <w:t xml:space="preserve"> provided in the file </w:t>
      </w:r>
      <w:r w:rsidR="00FB34E8" w:rsidRPr="00A10663">
        <w:rPr>
          <w:b/>
          <w:bCs/>
        </w:rPr>
        <w:t>“</w:t>
      </w:r>
      <w:r w:rsidRPr="00A10663">
        <w:rPr>
          <w:b/>
          <w:bCs/>
        </w:rPr>
        <w:t>Technical Information</w:t>
      </w:r>
      <w:r w:rsidR="00FB34E8" w:rsidRPr="00A10663">
        <w:rPr>
          <w:b/>
          <w:bCs/>
        </w:rPr>
        <w:t>”</w:t>
      </w:r>
      <w:r w:rsidRPr="00A10663">
        <w:t xml:space="preserve"> (as described in 3.1.1.). If you decide to calculate these two additional interest rate scenarios, you are asked to supply additional copies of the reporting template (with both recalculated baseline figures and figures in the expected new regime). Note that </w:t>
      </w:r>
      <w:r w:rsidR="006147B2" w:rsidRPr="00A10663">
        <w:t xml:space="preserve">for these additional interest rate scenarios the </w:t>
      </w:r>
      <w:r w:rsidR="00AB2FE6" w:rsidRPr="00A10663">
        <w:t>comparable values in the QRTs will obviously be different.</w:t>
      </w:r>
    </w:p>
    <w:p w14:paraId="0FE1659F" w14:textId="53AE388E" w:rsidR="005436E2" w:rsidRPr="00A10663" w:rsidRDefault="00711800" w:rsidP="00880236">
      <w:pPr>
        <w:numPr>
          <w:ilvl w:val="0"/>
          <w:numId w:val="5"/>
        </w:numPr>
        <w:ind w:right="204" w:hanging="566"/>
      </w:pPr>
      <w:r w:rsidRPr="00A10663">
        <w:rPr>
          <w:b/>
          <w:bCs/>
        </w:rPr>
        <w:t>Required information</w:t>
      </w:r>
      <w:r w:rsidRPr="00A10663">
        <w:t xml:space="preserve">: </w:t>
      </w:r>
      <w:r w:rsidR="0085586B" w:rsidRPr="00A10663">
        <w:t xml:space="preserve">Participants should </w:t>
      </w:r>
      <w:r w:rsidR="003715AB" w:rsidRPr="00A10663">
        <w:t>complete all partic</w:t>
      </w:r>
      <w:r w:rsidR="0021078A" w:rsidRPr="00A10663">
        <w:t xml:space="preserve">ipation </w:t>
      </w:r>
      <w:r w:rsidR="00B5287C" w:rsidRPr="00A10663">
        <w:t xml:space="preserve">information </w:t>
      </w:r>
      <w:r w:rsidR="00F21903" w:rsidRPr="00A10663">
        <w:t xml:space="preserve">on the </w:t>
      </w:r>
      <w:r w:rsidR="00B5287C" w:rsidRPr="00A10663">
        <w:t xml:space="preserve">sheet “Participation information”. </w:t>
      </w:r>
      <w:r w:rsidR="00F768CC" w:rsidRPr="00A10663">
        <w:t>In addition, t</w:t>
      </w:r>
      <w:r w:rsidR="000C4AB1" w:rsidRPr="00A10663">
        <w:t>he following type of information needs to be provided</w:t>
      </w:r>
      <w:r w:rsidR="000A2EE5" w:rsidRPr="00A10663">
        <w:t xml:space="preserve"> for both the base case scenario and the expected new regime</w:t>
      </w:r>
      <w:r w:rsidR="0053495E" w:rsidRPr="00A10663">
        <w:t xml:space="preserve"> such that the </w:t>
      </w:r>
      <w:r w:rsidR="00957BD3" w:rsidRPr="00A10663">
        <w:t xml:space="preserve">submission can </w:t>
      </w:r>
      <w:r w:rsidR="00445835" w:rsidRPr="00A10663">
        <w:t xml:space="preserve">be </w:t>
      </w:r>
      <w:r w:rsidR="00AE621B" w:rsidRPr="00A10663">
        <w:t>considered</w:t>
      </w:r>
      <w:r w:rsidR="00445835" w:rsidRPr="00A10663">
        <w:t xml:space="preserve"> complete</w:t>
      </w:r>
      <w:r w:rsidR="000C4AB1" w:rsidRPr="00A10663">
        <w:t xml:space="preserve">: </w:t>
      </w:r>
    </w:p>
    <w:p w14:paraId="111CB89F" w14:textId="3B6E41DC" w:rsidR="00CD3E9E" w:rsidRPr="00A10663" w:rsidRDefault="00E03499" w:rsidP="00BD6C7D">
      <w:pPr>
        <w:numPr>
          <w:ilvl w:val="1"/>
          <w:numId w:val="5"/>
        </w:numPr>
        <w:spacing w:after="115"/>
        <w:ind w:right="204" w:hanging="360"/>
      </w:pPr>
      <w:r w:rsidRPr="00A10663">
        <w:t>t</w:t>
      </w:r>
      <w:r w:rsidR="00CD3E9E" w:rsidRPr="00A10663">
        <w:t>he balance sheet</w:t>
      </w:r>
      <w:r w:rsidRPr="00A10663">
        <w:t xml:space="preserve"> according to S.02.01.01.01</w:t>
      </w:r>
    </w:p>
    <w:p w14:paraId="2CDEDE3E" w14:textId="5DBC80D7" w:rsidR="00E03499" w:rsidRPr="00A10663" w:rsidRDefault="00E03499" w:rsidP="00E03499">
      <w:pPr>
        <w:numPr>
          <w:ilvl w:val="1"/>
          <w:numId w:val="5"/>
        </w:numPr>
        <w:spacing w:after="112"/>
        <w:ind w:right="204" w:hanging="360"/>
      </w:pPr>
      <w:r w:rsidRPr="00A10663">
        <w:t xml:space="preserve">available own funds and eligible own funds to cover SCR </w:t>
      </w:r>
      <w:r w:rsidR="00381D70" w:rsidRPr="00A10663">
        <w:t>according to S.22.01.01.01</w:t>
      </w:r>
    </w:p>
    <w:p w14:paraId="4865FE10" w14:textId="79E99597" w:rsidR="002B3376" w:rsidRPr="00A10663" w:rsidRDefault="000C4AB1" w:rsidP="00BD6C7D">
      <w:pPr>
        <w:numPr>
          <w:ilvl w:val="1"/>
          <w:numId w:val="5"/>
        </w:numPr>
        <w:spacing w:after="115"/>
        <w:ind w:right="204" w:hanging="360"/>
      </w:pPr>
      <w:r w:rsidRPr="00A10663">
        <w:t xml:space="preserve">in case the VA is used the undertaking-specific VA per currency </w:t>
      </w:r>
      <w:r w:rsidR="00A76834" w:rsidRPr="00A10663">
        <w:t>and it’s components</w:t>
      </w:r>
    </w:p>
    <w:p w14:paraId="183A5705" w14:textId="044E13BE" w:rsidR="006663F1" w:rsidRPr="00A10663" w:rsidRDefault="006663F1" w:rsidP="00BD6C7D">
      <w:pPr>
        <w:numPr>
          <w:ilvl w:val="1"/>
          <w:numId w:val="5"/>
        </w:numPr>
        <w:spacing w:after="115"/>
        <w:ind w:right="204" w:hanging="360"/>
      </w:pPr>
      <w:r w:rsidRPr="00A10663">
        <w:t>details on the risk margin</w:t>
      </w:r>
    </w:p>
    <w:p w14:paraId="76E970F5" w14:textId="3A88FCC0" w:rsidR="00465AE6" w:rsidRPr="00A10663" w:rsidRDefault="00465AE6" w:rsidP="00465AE6">
      <w:pPr>
        <w:numPr>
          <w:ilvl w:val="1"/>
          <w:numId w:val="5"/>
        </w:numPr>
        <w:ind w:right="204" w:hanging="360"/>
      </w:pPr>
      <w:r w:rsidRPr="00A10663">
        <w:t xml:space="preserve">the MCR and its components (floors, ceiling, linear life component, linear nonlife component) </w:t>
      </w:r>
    </w:p>
    <w:p w14:paraId="0DBFAD3C" w14:textId="2BE89A55" w:rsidR="002B3376" w:rsidRPr="00A10663" w:rsidRDefault="000C4AB1" w:rsidP="00BD6C7D">
      <w:pPr>
        <w:numPr>
          <w:ilvl w:val="1"/>
          <w:numId w:val="5"/>
        </w:numPr>
        <w:ind w:right="204" w:hanging="360"/>
      </w:pPr>
      <w:r w:rsidRPr="00A10663">
        <w:lastRenderedPageBreak/>
        <w:t>the SCR and information on modules, sub-modules, adjustments for loss-absorbing capacity of deferred taxes and technical provisions and the capital requirement for operational risk</w:t>
      </w:r>
      <w:r w:rsidR="006C2535" w:rsidRPr="00A10663">
        <w:t xml:space="preserve">, both for SF and (P)IM. </w:t>
      </w:r>
    </w:p>
    <w:p w14:paraId="3FF5E9C6" w14:textId="10BCF9AD" w:rsidR="00AE621B" w:rsidRPr="00A10663" w:rsidRDefault="000C4AB1" w:rsidP="00AE621B">
      <w:pPr>
        <w:numPr>
          <w:ilvl w:val="1"/>
          <w:numId w:val="5"/>
        </w:numPr>
        <w:spacing w:after="112"/>
        <w:ind w:right="204" w:hanging="360"/>
      </w:pPr>
      <w:r w:rsidRPr="00A10663">
        <w:t xml:space="preserve">in addition, background information on some of these calculations.   </w:t>
      </w:r>
    </w:p>
    <w:p w14:paraId="3DA091B4" w14:textId="77777777" w:rsidR="00AE621B" w:rsidRPr="00A10663" w:rsidRDefault="00AE621B" w:rsidP="00AE621B">
      <w:pPr>
        <w:spacing w:after="112"/>
        <w:ind w:right="204"/>
      </w:pPr>
    </w:p>
    <w:p w14:paraId="178BDF06" w14:textId="44077509" w:rsidR="00622118" w:rsidRPr="00A10663" w:rsidRDefault="00487F0A" w:rsidP="00880236">
      <w:pPr>
        <w:spacing w:after="112"/>
        <w:ind w:right="204" w:hanging="3"/>
      </w:pPr>
      <w:r w:rsidRPr="00A10663">
        <w:t xml:space="preserve">The </w:t>
      </w:r>
      <w:r w:rsidR="00FB74E4" w:rsidRPr="00A10663">
        <w:t xml:space="preserve">insurer has the option to also </w:t>
      </w:r>
      <w:r w:rsidR="00A50B94" w:rsidRPr="00A10663">
        <w:t xml:space="preserve">report the </w:t>
      </w:r>
      <w:r w:rsidRPr="00A10663">
        <w:t xml:space="preserve">available own funds and eligible own funds to cover </w:t>
      </w:r>
      <w:r w:rsidR="00A50B94" w:rsidRPr="00A10663">
        <w:t>the MCR</w:t>
      </w:r>
      <w:r w:rsidRPr="00A10663">
        <w:t xml:space="preserve"> according to S.22.01.01.01</w:t>
      </w:r>
      <w:r w:rsidR="00A50B94" w:rsidRPr="00A10663">
        <w:t>.</w:t>
      </w:r>
    </w:p>
    <w:p w14:paraId="4E83B880" w14:textId="6112C6CD" w:rsidR="00711800" w:rsidRPr="00A10663" w:rsidRDefault="00711800" w:rsidP="00BD6C7D">
      <w:pPr>
        <w:numPr>
          <w:ilvl w:val="0"/>
          <w:numId w:val="5"/>
        </w:numPr>
        <w:ind w:right="204" w:hanging="566"/>
      </w:pPr>
      <w:r w:rsidRPr="00A10663">
        <w:rPr>
          <w:b/>
          <w:bCs/>
        </w:rPr>
        <w:t>Simplifications</w:t>
      </w:r>
      <w:r w:rsidRPr="00A10663">
        <w:t xml:space="preserve">: </w:t>
      </w:r>
      <w:r w:rsidR="000523F7" w:rsidRPr="00A10663">
        <w:t xml:space="preserve">Simplifications may be used </w:t>
      </w:r>
      <w:r w:rsidR="00075216" w:rsidRPr="00A10663">
        <w:t>in case</w:t>
      </w:r>
      <w:r w:rsidR="000523F7" w:rsidRPr="00A10663">
        <w:t xml:space="preserve"> they do not lead to materially different outcomes</w:t>
      </w:r>
      <w:r w:rsidR="00A21DA3" w:rsidRPr="00A10663">
        <w:t xml:space="preserve"> which would lead to different conclusions on the impact of the SII review</w:t>
      </w:r>
      <w:r w:rsidR="000523F7" w:rsidRPr="00A10663">
        <w:t xml:space="preserve">. Simplifications may be used without prior </w:t>
      </w:r>
      <w:r w:rsidR="00125909" w:rsidRPr="00A10663">
        <w:t>approval from DNB</w:t>
      </w:r>
      <w:r w:rsidRPr="00A10663">
        <w:t>.</w:t>
      </w:r>
      <w:r w:rsidR="00125909" w:rsidRPr="00A10663">
        <w:t xml:space="preserve"> Please list the simplifications in </w:t>
      </w:r>
      <w:r w:rsidR="00685AE5" w:rsidRPr="00A10663">
        <w:t xml:space="preserve">the columns “Explanation insurer” in each </w:t>
      </w:r>
      <w:r w:rsidR="00905A4B" w:rsidRPr="00A10663">
        <w:t>excel sheet or in a separate document</w:t>
      </w:r>
      <w:r w:rsidR="00B138B4" w:rsidRPr="00A10663">
        <w:t xml:space="preserve"> which can be included</w:t>
      </w:r>
      <w:r w:rsidR="00C44612" w:rsidRPr="00A10663">
        <w:t xml:space="preserve"> via Dienst </w:t>
      </w:r>
      <w:proofErr w:type="spellStart"/>
      <w:r w:rsidR="00C44612" w:rsidRPr="00A10663">
        <w:t>Rapportages</w:t>
      </w:r>
      <w:proofErr w:type="spellEnd"/>
      <w:r w:rsidR="00905A4B" w:rsidRPr="00A10663">
        <w:t>.</w:t>
      </w:r>
    </w:p>
    <w:p w14:paraId="278D030A" w14:textId="0210DC29" w:rsidR="002B3376" w:rsidRPr="00A10663" w:rsidRDefault="00711800" w:rsidP="00BD6C7D">
      <w:pPr>
        <w:numPr>
          <w:ilvl w:val="0"/>
          <w:numId w:val="5"/>
        </w:numPr>
        <w:ind w:right="204" w:hanging="566"/>
      </w:pPr>
      <w:r w:rsidRPr="00A10663">
        <w:rPr>
          <w:b/>
          <w:bCs/>
        </w:rPr>
        <w:t>Reference date</w:t>
      </w:r>
      <w:r w:rsidRPr="00A10663">
        <w:t xml:space="preserve">: </w:t>
      </w:r>
      <w:r w:rsidR="000C4AB1" w:rsidRPr="00A10663">
        <w:t xml:space="preserve">The reference date for the </w:t>
      </w:r>
      <w:r w:rsidR="00450961" w:rsidRPr="00A10663">
        <w:t>impact assessment</w:t>
      </w:r>
      <w:r w:rsidR="000C4AB1" w:rsidRPr="00A10663">
        <w:t xml:space="preserve"> is </w:t>
      </w:r>
      <w:r w:rsidR="000C4AB1" w:rsidRPr="00A10663">
        <w:rPr>
          <w:b/>
        </w:rPr>
        <w:t xml:space="preserve">31 December </w:t>
      </w:r>
      <w:r w:rsidR="003E51AA" w:rsidRPr="00A10663">
        <w:rPr>
          <w:b/>
        </w:rPr>
        <w:t>2024</w:t>
      </w:r>
      <w:r w:rsidR="000C4AB1" w:rsidRPr="00A10663">
        <w:t xml:space="preserve">. </w:t>
      </w:r>
    </w:p>
    <w:p w14:paraId="67BA568B" w14:textId="789A28D8" w:rsidR="002B3376" w:rsidRPr="00A10663" w:rsidRDefault="00711800" w:rsidP="00BD6C7D">
      <w:pPr>
        <w:numPr>
          <w:ilvl w:val="0"/>
          <w:numId w:val="5"/>
        </w:numPr>
        <w:ind w:right="204" w:hanging="566"/>
      </w:pPr>
      <w:r w:rsidRPr="00A10663">
        <w:rPr>
          <w:b/>
          <w:bCs/>
        </w:rPr>
        <w:t>Deadline:</w:t>
      </w:r>
      <w:r w:rsidRPr="00A10663">
        <w:t xml:space="preserve"> </w:t>
      </w:r>
      <w:r w:rsidR="000C4AB1" w:rsidRPr="00A10663">
        <w:t xml:space="preserve">Participants should submit their results to </w:t>
      </w:r>
      <w:r w:rsidR="006A7825" w:rsidRPr="00A10663">
        <w:t>DNB</w:t>
      </w:r>
      <w:r w:rsidR="000C4AB1" w:rsidRPr="00A10663">
        <w:t xml:space="preserve"> in the provided Excel reporting template</w:t>
      </w:r>
      <w:r w:rsidR="003E51AA" w:rsidRPr="00A10663">
        <w:t xml:space="preserve"> via DLR</w:t>
      </w:r>
      <w:r w:rsidR="000C4AB1" w:rsidRPr="00A10663">
        <w:t xml:space="preserve">. </w:t>
      </w:r>
      <w:r w:rsidR="00CD309D" w:rsidRPr="00A10663">
        <w:t xml:space="preserve">The submission deadline is </w:t>
      </w:r>
      <w:r w:rsidR="00B17060" w:rsidRPr="00A10663">
        <w:t>Friday the 30</w:t>
      </w:r>
      <w:r w:rsidR="00B17060" w:rsidRPr="00A10663">
        <w:rPr>
          <w:vertAlign w:val="superscript"/>
        </w:rPr>
        <w:t>th</w:t>
      </w:r>
      <w:r w:rsidR="00B17060" w:rsidRPr="00A10663">
        <w:t xml:space="preserve"> of </w:t>
      </w:r>
      <w:r w:rsidR="003176E6" w:rsidRPr="00A10663">
        <w:t>May</w:t>
      </w:r>
      <w:r w:rsidR="00B17060" w:rsidRPr="00A10663">
        <w:t>.</w:t>
      </w:r>
    </w:p>
    <w:p w14:paraId="7297105F" w14:textId="58BB9594" w:rsidR="002B3376" w:rsidRPr="00A10663" w:rsidRDefault="00711800" w:rsidP="00BD6C7D">
      <w:pPr>
        <w:numPr>
          <w:ilvl w:val="0"/>
          <w:numId w:val="5"/>
        </w:numPr>
        <w:ind w:right="204" w:hanging="566"/>
        <w:jc w:val="left"/>
      </w:pPr>
      <w:r w:rsidRPr="00A10663">
        <w:rPr>
          <w:b/>
          <w:bCs/>
        </w:rPr>
        <w:t>Technical information:</w:t>
      </w:r>
      <w:r w:rsidRPr="00A10663">
        <w:t xml:space="preserve"> </w:t>
      </w:r>
      <w:r w:rsidR="000C4AB1" w:rsidRPr="00A10663">
        <w:t xml:space="preserve">These technical specifications are supplemented by an Excel file </w:t>
      </w:r>
      <w:r w:rsidR="00FB34E8" w:rsidRPr="00A10663">
        <w:t>“</w:t>
      </w:r>
      <w:r w:rsidR="000C4AB1" w:rsidRPr="00A10663">
        <w:t>Technical Information</w:t>
      </w:r>
      <w:r w:rsidR="00FB34E8" w:rsidRPr="00A10663">
        <w:t>”</w:t>
      </w:r>
      <w:r w:rsidR="000C4AB1" w:rsidRPr="00A10663">
        <w:t xml:space="preserve"> that sets out the following information for </w:t>
      </w:r>
      <w:r w:rsidR="00E57918" w:rsidRPr="00A10663">
        <w:t xml:space="preserve">the baseline scenario and </w:t>
      </w:r>
      <w:r w:rsidR="00CD309D" w:rsidRPr="00A10663">
        <w:t>the expected new regime</w:t>
      </w:r>
      <w:r w:rsidR="000C4AB1" w:rsidRPr="00A10663">
        <w:t>:</w:t>
      </w:r>
    </w:p>
    <w:p w14:paraId="285C12B6" w14:textId="02FCC21A" w:rsidR="002B3376" w:rsidRPr="00A10663" w:rsidRDefault="000C4AB1" w:rsidP="00BD6C7D">
      <w:pPr>
        <w:numPr>
          <w:ilvl w:val="1"/>
          <w:numId w:val="5"/>
        </w:numPr>
        <w:spacing w:after="112"/>
        <w:ind w:right="204" w:hanging="360"/>
      </w:pPr>
      <w:r w:rsidRPr="00A10663">
        <w:t xml:space="preserve">Basic risk free interest rate term structures </w:t>
      </w:r>
      <w:r w:rsidR="00BF42B6" w:rsidRPr="00A10663">
        <w:t xml:space="preserve">for the </w:t>
      </w:r>
      <w:r w:rsidR="00012B08" w:rsidRPr="00A10663">
        <w:t>EUR, JPY and CZK.</w:t>
      </w:r>
      <w:r w:rsidR="002A711C" w:rsidRPr="00A10663">
        <w:t xml:space="preserve"> If you ne</w:t>
      </w:r>
      <w:r w:rsidR="00B857F1" w:rsidRPr="00A10663">
        <w:t xml:space="preserve">ed the basic risk free interest rate term structure for other currencies, please contact us to discuss the feasibility. </w:t>
      </w:r>
      <w:r w:rsidR="0052130C" w:rsidRPr="00A10663">
        <w:t>Note that minor differences are observed compared to EIOPA published rates because of data limitations.</w:t>
      </w:r>
    </w:p>
    <w:p w14:paraId="6F468FE1" w14:textId="3C5DDA31" w:rsidR="002B3376" w:rsidRPr="00A10663" w:rsidRDefault="000C4AB1" w:rsidP="00BD6C7D">
      <w:pPr>
        <w:numPr>
          <w:ilvl w:val="1"/>
          <w:numId w:val="5"/>
        </w:numPr>
        <w:spacing w:after="114"/>
        <w:ind w:right="204" w:hanging="360"/>
      </w:pPr>
      <w:r w:rsidRPr="00A10663">
        <w:t xml:space="preserve">Risk-free interest rate term structures including </w:t>
      </w:r>
      <w:r w:rsidR="0034053E" w:rsidRPr="00A10663">
        <w:t>the</w:t>
      </w:r>
      <w:r w:rsidR="00D400EC" w:rsidRPr="00A10663">
        <w:t xml:space="preserve"> (undertaking specific)</w:t>
      </w:r>
      <w:r w:rsidR="0034053E" w:rsidRPr="00A10663">
        <w:t xml:space="preserve"> currency</w:t>
      </w:r>
      <w:r w:rsidRPr="00A10663">
        <w:t xml:space="preserve"> VA </w:t>
      </w:r>
    </w:p>
    <w:p w14:paraId="010A9AAF" w14:textId="0A3AAA7C" w:rsidR="002B3376" w:rsidRPr="00A10663" w:rsidRDefault="000C4AB1" w:rsidP="00BD6C7D">
      <w:pPr>
        <w:numPr>
          <w:ilvl w:val="1"/>
          <w:numId w:val="5"/>
        </w:numPr>
        <w:ind w:right="204" w:hanging="360"/>
      </w:pPr>
      <w:r w:rsidRPr="00A10663">
        <w:t>Risk-corrected spreads</w:t>
      </w:r>
      <w:r w:rsidR="0045413A" w:rsidRPr="00A10663">
        <w:t>,</w:t>
      </w:r>
      <w:r w:rsidRPr="00A10663">
        <w:t xml:space="preserve"> scaling factors </w:t>
      </w:r>
      <w:r w:rsidR="0045413A" w:rsidRPr="00A10663">
        <w:t xml:space="preserve">and the scaled risk corrected spreads </w:t>
      </w:r>
      <w:r w:rsidRPr="00A10663">
        <w:t>for the calculation of volatility adjustments</w:t>
      </w:r>
      <w:r w:rsidR="0045413A" w:rsidRPr="00A10663">
        <w:t xml:space="preserve"> for the EUR, JPY and CZK currencies.</w:t>
      </w:r>
      <w:r w:rsidRPr="00A10663">
        <w:t xml:space="preserve"> </w:t>
      </w:r>
      <w:r w:rsidR="00A92300" w:rsidRPr="00A10663">
        <w:t>I</w:t>
      </w:r>
      <w:r w:rsidR="0045413A" w:rsidRPr="00A10663">
        <w:t xml:space="preserve">f you </w:t>
      </w:r>
      <w:r w:rsidR="00A92300" w:rsidRPr="00A10663">
        <w:t>need the VA for other currencies</w:t>
      </w:r>
      <w:r w:rsidR="00093FE4" w:rsidRPr="00A10663">
        <w:t>, please contact us to discuss the feasibility</w:t>
      </w:r>
      <w:r w:rsidR="00A92300" w:rsidRPr="00A10663">
        <w:t>.</w:t>
      </w:r>
    </w:p>
    <w:p w14:paraId="0EDCED71" w14:textId="77777777" w:rsidR="002B3376" w:rsidRPr="00A10663" w:rsidRDefault="000C4AB1" w:rsidP="00BD6C7D">
      <w:pPr>
        <w:numPr>
          <w:ilvl w:val="1"/>
          <w:numId w:val="5"/>
        </w:numPr>
        <w:spacing w:after="81"/>
        <w:ind w:right="204" w:hanging="360"/>
      </w:pPr>
      <w:r w:rsidRPr="00A10663">
        <w:t xml:space="preserve">SCR standard formula shocks for the interest rate risk sub-module </w:t>
      </w:r>
    </w:p>
    <w:p w14:paraId="7803CDB6" w14:textId="6024D092" w:rsidR="00AA4F00" w:rsidRPr="00A10663" w:rsidRDefault="00AA4F00" w:rsidP="00BD6C7D">
      <w:pPr>
        <w:numPr>
          <w:ilvl w:val="1"/>
          <w:numId w:val="5"/>
        </w:numPr>
        <w:spacing w:after="81"/>
        <w:ind w:right="204" w:hanging="360"/>
      </w:pPr>
      <w:r w:rsidRPr="00A10663">
        <w:t>Basic risk</w:t>
      </w:r>
      <w:r w:rsidR="00057410" w:rsidRPr="00A10663">
        <w:t xml:space="preserve"> free interest rate term structures </w:t>
      </w:r>
      <w:r w:rsidR="00EB6924" w:rsidRPr="00A10663">
        <w:t>for two additional interest rate scenario</w:t>
      </w:r>
      <w:r w:rsidR="00B17168" w:rsidRPr="00A10663">
        <w:t>s (as described in 3.1.1.) and the corresponding SCR standard formula shocks</w:t>
      </w:r>
    </w:p>
    <w:p w14:paraId="4C8DAE91" w14:textId="2A0A0FAB" w:rsidR="002B3376" w:rsidRPr="00A10663" w:rsidRDefault="000C4AB1" w:rsidP="00BD6C7D">
      <w:pPr>
        <w:spacing w:after="110"/>
        <w:ind w:left="566" w:right="204" w:firstLine="0"/>
      </w:pPr>
      <w:r w:rsidRPr="00A10663">
        <w:t>Furthermore, th</w:t>
      </w:r>
      <w:r w:rsidR="004B3C11" w:rsidRPr="00A10663">
        <w:t>e</w:t>
      </w:r>
      <w:r w:rsidRPr="00A10663">
        <w:t xml:space="preserve"> </w:t>
      </w:r>
      <w:r w:rsidR="004B3C11" w:rsidRPr="00A10663">
        <w:t xml:space="preserve">hidden sheets in the </w:t>
      </w:r>
      <w:r w:rsidRPr="00A10663">
        <w:t>Excel file include detailed information on the calibration param</w:t>
      </w:r>
      <w:r w:rsidR="00AE4A1C" w:rsidRPr="00A10663">
        <w:t>e</w:t>
      </w:r>
      <w:r w:rsidRPr="00A10663">
        <w:t xml:space="preserve">ters of the new method proposed for the basic risk free interest rate term structures as described in </w:t>
      </w:r>
      <w:r w:rsidR="00C70112" w:rsidRPr="00A10663">
        <w:t>3</w:t>
      </w:r>
      <w:r w:rsidRPr="00A10663">
        <w:t xml:space="preserve">.1.1.  </w:t>
      </w:r>
    </w:p>
    <w:p w14:paraId="603EAE08" w14:textId="293C65DD" w:rsidR="00F14529" w:rsidRPr="00A10663" w:rsidRDefault="00F14529" w:rsidP="00880236">
      <w:pPr>
        <w:numPr>
          <w:ilvl w:val="0"/>
          <w:numId w:val="5"/>
        </w:numPr>
        <w:ind w:right="204" w:hanging="566"/>
      </w:pPr>
      <w:r w:rsidRPr="00A10663">
        <w:rPr>
          <w:b/>
          <w:bCs/>
        </w:rPr>
        <w:t>Questions:</w:t>
      </w:r>
      <w:r w:rsidRPr="00A10663">
        <w:t xml:space="preserve"> Should participants have any questions regarding this impact assessment please contact us at </w:t>
      </w:r>
      <w:hyperlink r:id="rId15" w:history="1">
        <w:r w:rsidRPr="00A10663">
          <w:rPr>
            <w:rStyle w:val="Hyperlink"/>
          </w:rPr>
          <w:t>Solvency2@dnb.nl</w:t>
        </w:r>
      </w:hyperlink>
      <w:r w:rsidRPr="00A10663">
        <w:t xml:space="preserve"> </w:t>
      </w:r>
      <w:r w:rsidR="00137BCD" w:rsidRPr="00A10663">
        <w:t>including</w:t>
      </w:r>
      <w:r w:rsidR="004A50CE" w:rsidRPr="00A10663">
        <w:t xml:space="preserve"> “Solvency II impact assessment” </w:t>
      </w:r>
      <w:r w:rsidR="0010274A" w:rsidRPr="00A10663">
        <w:t xml:space="preserve"> </w:t>
      </w:r>
      <w:r w:rsidR="00137BCD" w:rsidRPr="00A10663">
        <w:t xml:space="preserve">in the </w:t>
      </w:r>
      <w:r w:rsidR="00583BE0" w:rsidRPr="00A10663">
        <w:t>subject of</w:t>
      </w:r>
      <w:r w:rsidR="002E15BD" w:rsidRPr="00A10663">
        <w:t xml:space="preserve"> the </w:t>
      </w:r>
      <w:r w:rsidR="00583BE0" w:rsidRPr="00A10663">
        <w:t>email.</w:t>
      </w:r>
    </w:p>
    <w:p w14:paraId="24002C8D" w14:textId="77777777" w:rsidR="00F14529" w:rsidRPr="00A10663" w:rsidRDefault="00F14529" w:rsidP="00880236">
      <w:pPr>
        <w:spacing w:after="110"/>
        <w:ind w:right="204"/>
      </w:pPr>
    </w:p>
    <w:p w14:paraId="726EBD96" w14:textId="77777777" w:rsidR="002B3376" w:rsidRPr="00A10663" w:rsidRDefault="000C4AB1" w:rsidP="00BD6C7D">
      <w:pPr>
        <w:spacing w:after="153" w:line="259" w:lineRule="auto"/>
        <w:ind w:left="566" w:firstLine="0"/>
        <w:jc w:val="left"/>
      </w:pPr>
      <w:r w:rsidRPr="00A10663">
        <w:t xml:space="preserve"> </w:t>
      </w:r>
    </w:p>
    <w:p w14:paraId="1D6C21F9" w14:textId="6A0193B7" w:rsidR="002B3376" w:rsidRPr="00A10663" w:rsidRDefault="00530398" w:rsidP="00B15047">
      <w:pPr>
        <w:pStyle w:val="Heading1"/>
        <w:ind w:left="0"/>
      </w:pPr>
      <w:bookmarkStart w:id="4" w:name="_Toc190205698"/>
      <w:bookmarkStart w:id="5" w:name="_Toc190338547"/>
      <w:r w:rsidRPr="00A10663">
        <w:lastRenderedPageBreak/>
        <w:t>3</w:t>
      </w:r>
      <w:r w:rsidR="000C4AB1" w:rsidRPr="00A10663">
        <w:t xml:space="preserve">. Technical specification of </w:t>
      </w:r>
      <w:r w:rsidR="00D92464" w:rsidRPr="00A10663">
        <w:t>the expected new regime</w:t>
      </w:r>
      <w:bookmarkEnd w:id="4"/>
      <w:bookmarkEnd w:id="5"/>
      <w:r w:rsidR="000C4AB1" w:rsidRPr="00A10663">
        <w:t xml:space="preserve"> </w:t>
      </w:r>
    </w:p>
    <w:p w14:paraId="5860184F" w14:textId="2C0287CA" w:rsidR="002B3376" w:rsidRPr="00A10663" w:rsidRDefault="00530398" w:rsidP="00B15047">
      <w:pPr>
        <w:pStyle w:val="Heading3"/>
        <w:ind w:left="0"/>
      </w:pPr>
      <w:bookmarkStart w:id="6" w:name="_Toc190205699"/>
      <w:bookmarkStart w:id="7" w:name="_Toc190338548"/>
      <w:r w:rsidRPr="00A10663">
        <w:t>3</w:t>
      </w:r>
      <w:r w:rsidR="000C4AB1" w:rsidRPr="00A10663">
        <w:t>.1.</w:t>
      </w:r>
      <w:r w:rsidR="000C4AB1" w:rsidRPr="00A10663">
        <w:rPr>
          <w:rFonts w:eastAsia="Arial" w:cs="Arial"/>
        </w:rPr>
        <w:t xml:space="preserve"> </w:t>
      </w:r>
      <w:r w:rsidR="000C4AB1" w:rsidRPr="00A10663">
        <w:t>Risk-free interest rate term structures</w:t>
      </w:r>
      <w:bookmarkEnd w:id="6"/>
      <w:bookmarkEnd w:id="7"/>
      <w:r w:rsidR="000C4AB1" w:rsidRPr="00A10663">
        <w:t xml:space="preserve"> </w:t>
      </w:r>
    </w:p>
    <w:p w14:paraId="79917A25" w14:textId="78202CD7" w:rsidR="002B3376" w:rsidRPr="00A10663" w:rsidRDefault="00530398" w:rsidP="00B15047">
      <w:pPr>
        <w:pStyle w:val="Heading4"/>
        <w:ind w:left="0"/>
      </w:pPr>
      <w:r w:rsidRPr="00A10663">
        <w:t>3</w:t>
      </w:r>
      <w:r w:rsidR="000C4AB1" w:rsidRPr="00A10663">
        <w:t>.1.1.</w:t>
      </w:r>
      <w:r w:rsidR="000C4AB1" w:rsidRPr="00A10663">
        <w:rPr>
          <w:rFonts w:eastAsia="Arial" w:cs="Arial"/>
        </w:rPr>
        <w:t xml:space="preserve"> </w:t>
      </w:r>
      <w:r w:rsidR="000C4AB1" w:rsidRPr="00A10663">
        <w:t xml:space="preserve">Basic risk-free interest rates </w:t>
      </w:r>
    </w:p>
    <w:p w14:paraId="0EC6B79C" w14:textId="6587DC62" w:rsidR="002B3376" w:rsidRPr="00A10663" w:rsidRDefault="000C4AB1" w:rsidP="00BD6C7D">
      <w:pPr>
        <w:numPr>
          <w:ilvl w:val="0"/>
          <w:numId w:val="5"/>
        </w:numPr>
        <w:spacing w:after="110"/>
        <w:ind w:right="204" w:hanging="566"/>
      </w:pPr>
      <w:r w:rsidRPr="00A10663">
        <w:t xml:space="preserve">For the valuation of insurance and reinsurance obligations the risk-free interest rate term structures </w:t>
      </w:r>
      <w:r w:rsidR="0045121B" w:rsidRPr="00A10663">
        <w:t>in the expected new regime</w:t>
      </w:r>
      <w:r w:rsidRPr="00A10663">
        <w:t xml:space="preserve"> set out in </w:t>
      </w:r>
      <w:r w:rsidR="0045121B" w:rsidRPr="00A10663">
        <w:t>sheet “Scenario Data Expected” in</w:t>
      </w:r>
      <w:r w:rsidRPr="00A10663">
        <w:t xml:space="preserve"> the file </w:t>
      </w:r>
      <w:r w:rsidR="00E968A7" w:rsidRPr="00A10663">
        <w:rPr>
          <w:b/>
          <w:bCs/>
        </w:rPr>
        <w:t>“</w:t>
      </w:r>
      <w:r w:rsidRPr="00A10663">
        <w:rPr>
          <w:b/>
          <w:bCs/>
        </w:rPr>
        <w:t>Technical Information</w:t>
      </w:r>
      <w:r w:rsidR="00E968A7" w:rsidRPr="00A10663">
        <w:rPr>
          <w:b/>
          <w:bCs/>
        </w:rPr>
        <w:t>”</w:t>
      </w:r>
      <w:r w:rsidR="00572AF5" w:rsidRPr="00A10663">
        <w:t xml:space="preserve"> </w:t>
      </w:r>
      <w:r w:rsidRPr="00A10663">
        <w:t xml:space="preserve">should be used. These term structures were derived with the alternative extrapolation method </w:t>
      </w:r>
      <w:r w:rsidR="00061BB6" w:rsidRPr="00A10663">
        <w:t>as</w:t>
      </w:r>
      <w:r w:rsidRPr="00A10663">
        <w:t xml:space="preserve"> specified in </w:t>
      </w:r>
      <w:r w:rsidR="000F00F2" w:rsidRPr="00A10663">
        <w:t>A</w:t>
      </w:r>
      <w:r w:rsidRPr="00A10663">
        <w:t xml:space="preserve">nnex 2.6 of the </w:t>
      </w:r>
      <w:r w:rsidR="0091416F" w:rsidRPr="00A10663">
        <w:t>EIOPA opinion background analysis document</w:t>
      </w:r>
      <w:r w:rsidR="00115126" w:rsidRPr="00A10663">
        <w:rPr>
          <w:rStyle w:val="FootnoteReference"/>
        </w:rPr>
        <w:footnoteReference w:id="6"/>
      </w:r>
      <w:r w:rsidR="00391C7E" w:rsidRPr="00A10663">
        <w:t xml:space="preserve">, with an alpha of 11%, </w:t>
      </w:r>
      <w:r w:rsidRPr="00A10663">
        <w:t>and take</w:t>
      </w:r>
      <w:r w:rsidR="00981AB5" w:rsidRPr="00A10663">
        <w:t>s</w:t>
      </w:r>
      <w:r w:rsidRPr="00A10663">
        <w:t xml:space="preserve"> into account the implications from the </w:t>
      </w:r>
      <w:r w:rsidR="0091416F" w:rsidRPr="00A10663">
        <w:t>relevant DLT assessment for 2024</w:t>
      </w:r>
      <w:r w:rsidRPr="00A10663">
        <w:t xml:space="preserve">. </w:t>
      </w:r>
    </w:p>
    <w:p w14:paraId="535DACA0" w14:textId="75538A3C" w:rsidR="00757309" w:rsidRPr="00A10663" w:rsidRDefault="00CE6B25" w:rsidP="0065180B">
      <w:pPr>
        <w:pStyle w:val="ListParagraph"/>
        <w:numPr>
          <w:ilvl w:val="0"/>
          <w:numId w:val="5"/>
        </w:numPr>
      </w:pPr>
      <w:r w:rsidRPr="00A10663">
        <w:t xml:space="preserve">If you need the basic risk free interest rate term structure for other currencies, please contact </w:t>
      </w:r>
      <w:r w:rsidR="00B412F3" w:rsidRPr="00A10663">
        <w:t>DNB</w:t>
      </w:r>
      <w:r w:rsidR="00035E19" w:rsidRPr="00A10663">
        <w:t xml:space="preserve"> via </w:t>
      </w:r>
      <w:hyperlink r:id="rId16" w:history="1">
        <w:r w:rsidR="00035E19" w:rsidRPr="00A10663">
          <w:rPr>
            <w:rStyle w:val="Hyperlink"/>
          </w:rPr>
          <w:t>Solvency2@dnb.nl</w:t>
        </w:r>
      </w:hyperlink>
      <w:r w:rsidR="00B412F3" w:rsidRPr="00A10663">
        <w:t xml:space="preserve"> </w:t>
      </w:r>
      <w:r w:rsidRPr="00A10663">
        <w:t xml:space="preserve">to discuss the feasibility. Note that we do not have access to the same data source </w:t>
      </w:r>
      <w:r w:rsidR="00E2339A" w:rsidRPr="00A10663">
        <w:t xml:space="preserve">data </w:t>
      </w:r>
      <w:r w:rsidRPr="00A10663">
        <w:t>as EIOPA and, as such, small differences could occur compared to their rates.</w:t>
      </w:r>
    </w:p>
    <w:p w14:paraId="18C50136" w14:textId="77777777" w:rsidR="0052130C" w:rsidRPr="00A10663" w:rsidRDefault="0052130C" w:rsidP="000138EE">
      <w:pPr>
        <w:pStyle w:val="ListParagraph"/>
      </w:pPr>
    </w:p>
    <w:p w14:paraId="36A3408B" w14:textId="31C51EE8" w:rsidR="0052130C" w:rsidRPr="00A10663" w:rsidRDefault="0052130C" w:rsidP="0052130C">
      <w:pPr>
        <w:pStyle w:val="ListParagraph"/>
        <w:numPr>
          <w:ilvl w:val="0"/>
          <w:numId w:val="5"/>
        </w:numPr>
      </w:pPr>
      <w:r w:rsidRPr="00A10663">
        <w:t>The basic risk</w:t>
      </w:r>
      <w:r w:rsidR="00392D35" w:rsidRPr="00A10663">
        <w:t xml:space="preserve"> </w:t>
      </w:r>
      <w:r w:rsidRPr="00A10663">
        <w:t xml:space="preserve">free interest rate term structures in the </w:t>
      </w:r>
      <w:r w:rsidRPr="00A10663">
        <w:rPr>
          <w:b/>
          <w:bCs/>
        </w:rPr>
        <w:t xml:space="preserve">optional </w:t>
      </w:r>
      <w:r w:rsidRPr="00A10663">
        <w:t xml:space="preserve">interest rate scenarios (sheets ‘Scenario Data </w:t>
      </w:r>
      <w:r w:rsidR="005C5841" w:rsidRPr="00A10663">
        <w:t>Expected</w:t>
      </w:r>
      <w:r w:rsidRPr="00A10663">
        <w:t xml:space="preserve"> +-100bps’) are obtained by shifting the bootstrapped (continuously compounded) interest rate curves by 100 basis points before applying the alternative extrapolation method. </w:t>
      </w:r>
      <w:r w:rsidR="005C5841" w:rsidRPr="00A10663">
        <w:t>To recalculate the baseline figures in these optional interest rate scenario’s, the sheets</w:t>
      </w:r>
      <w:r w:rsidR="00E16320" w:rsidRPr="00A10663">
        <w:t xml:space="preserve"> ‘Scenario Data Current +-100bps’ contain the </w:t>
      </w:r>
      <w:r w:rsidR="005858ED" w:rsidRPr="00A10663">
        <w:t>interest rate term structures based on Smith-Wilson extrapolation.</w:t>
      </w:r>
      <w:r w:rsidRPr="00A10663">
        <w:t xml:space="preserve"> </w:t>
      </w:r>
      <w:r w:rsidR="00392D35" w:rsidRPr="00A10663">
        <w:t>The spread environment, and thus the VA, is assumed constant in all three interest rate environments.</w:t>
      </w:r>
      <w:r w:rsidR="00F00401" w:rsidRPr="00A10663">
        <w:t xml:space="preserve"> Please see the sheet “Instructions” for additional information.</w:t>
      </w:r>
    </w:p>
    <w:p w14:paraId="2925589B" w14:textId="77777777" w:rsidR="0052130C" w:rsidRPr="00A10663" w:rsidRDefault="0052130C" w:rsidP="000138EE">
      <w:pPr>
        <w:pStyle w:val="ListParagraph"/>
        <w:ind w:left="566" w:firstLine="0"/>
      </w:pPr>
    </w:p>
    <w:p w14:paraId="2B464AF8" w14:textId="786D86DE" w:rsidR="002B3376" w:rsidRPr="00A10663" w:rsidRDefault="000C4AB1" w:rsidP="0048344E">
      <w:pPr>
        <w:pStyle w:val="ListParagraph"/>
        <w:ind w:left="566" w:firstLine="0"/>
      </w:pPr>
      <w:r w:rsidRPr="00A10663">
        <w:t xml:space="preserve">   </w:t>
      </w:r>
    </w:p>
    <w:p w14:paraId="42B6D00E" w14:textId="39E6100B" w:rsidR="002B3376" w:rsidRPr="00A10663" w:rsidRDefault="00530398" w:rsidP="000138EE">
      <w:pPr>
        <w:pStyle w:val="Heading4"/>
        <w:ind w:left="0"/>
      </w:pPr>
      <w:bookmarkStart w:id="8" w:name="_Ref188899671"/>
      <w:r w:rsidRPr="00A10663">
        <w:t>3</w:t>
      </w:r>
      <w:r w:rsidR="000C4AB1" w:rsidRPr="00A10663">
        <w:t>.1.2.</w:t>
      </w:r>
      <w:r w:rsidR="000C4AB1" w:rsidRPr="00A10663">
        <w:rPr>
          <w:rFonts w:eastAsia="Arial" w:cs="Arial"/>
        </w:rPr>
        <w:t xml:space="preserve"> </w:t>
      </w:r>
      <w:r w:rsidR="000C4AB1" w:rsidRPr="00A10663">
        <w:t>Volatility adjustment</w:t>
      </w:r>
      <w:bookmarkEnd w:id="8"/>
    </w:p>
    <w:p w14:paraId="7A587942" w14:textId="56F40E9A" w:rsidR="002B3376" w:rsidRPr="00A10663" w:rsidRDefault="000C4AB1" w:rsidP="00BD6C7D">
      <w:pPr>
        <w:numPr>
          <w:ilvl w:val="0"/>
          <w:numId w:val="5"/>
        </w:numPr>
        <w:spacing w:after="261"/>
        <w:ind w:right="204" w:hanging="566"/>
      </w:pPr>
      <w:r w:rsidRPr="00A10663">
        <w:t xml:space="preserve">Participants which apply the VA should recalculate the VA applicable to their undertaking and use </w:t>
      </w:r>
      <w:r w:rsidR="00833B8C" w:rsidRPr="00A10663">
        <w:t xml:space="preserve">it </w:t>
      </w:r>
      <w:r w:rsidRPr="00A10663">
        <w:t xml:space="preserve">to determine their solvency position. They should report about the VA calculation in the tab </w:t>
      </w:r>
      <w:r w:rsidRPr="00A10663">
        <w:rPr>
          <w:b/>
          <w:bCs/>
        </w:rPr>
        <w:t>“Volatility adjustment”</w:t>
      </w:r>
      <w:r w:rsidRPr="00A10663">
        <w:t xml:space="preserve">.  </w:t>
      </w:r>
    </w:p>
    <w:p w14:paraId="2F30C074" w14:textId="0FAAFF5A" w:rsidR="002B3376" w:rsidRPr="00A10663" w:rsidRDefault="000C4AB1" w:rsidP="00BD6C7D">
      <w:pPr>
        <w:numPr>
          <w:ilvl w:val="0"/>
          <w:numId w:val="5"/>
        </w:numPr>
        <w:spacing w:after="261"/>
        <w:ind w:right="204" w:hanging="566"/>
      </w:pPr>
      <w:r w:rsidRPr="00A10663">
        <w:t xml:space="preserve">Note that </w:t>
      </w:r>
      <w:r w:rsidR="0091416F" w:rsidRPr="00A10663">
        <w:t>t</w:t>
      </w:r>
      <w:r w:rsidRPr="00A10663">
        <w:t xml:space="preserve">he VA will consist of a </w:t>
      </w:r>
      <w:r w:rsidR="00FE18A9" w:rsidRPr="00A10663">
        <w:t>currency</w:t>
      </w:r>
      <w:r w:rsidRPr="00A10663">
        <w:t xml:space="preserve"> VA </w:t>
      </w:r>
      <w:r w:rsidR="00BB3568" w:rsidRPr="00A10663">
        <w:t>(permanent VA in the excel template)</w:t>
      </w:r>
      <w:r w:rsidRPr="00A10663">
        <w:t xml:space="preserve"> </w:t>
      </w:r>
      <w:r w:rsidR="00526587" w:rsidRPr="00A10663">
        <w:t>plus</w:t>
      </w:r>
      <w:r w:rsidRPr="00A10663">
        <w:t xml:space="preserve"> a</w:t>
      </w:r>
      <w:r w:rsidR="00526587" w:rsidRPr="00A10663">
        <w:t xml:space="preserve"> country specific</w:t>
      </w:r>
      <w:r w:rsidRPr="00A10663">
        <w:t xml:space="preserve"> macroeconomic VA. The macroeconomic </w:t>
      </w:r>
      <w:r w:rsidR="00526587" w:rsidRPr="00A10663">
        <w:t xml:space="preserve">VA </w:t>
      </w:r>
      <w:r w:rsidRPr="00A10663">
        <w:t xml:space="preserve">is triggered whenever the country risk corrected spread (measured on the basis of the national representative portfolio) is higher than both an absolute and a relative threshold. For further background please see </w:t>
      </w:r>
      <w:r w:rsidR="00C77CAB" w:rsidRPr="00A10663">
        <w:t>Article 77d</w:t>
      </w:r>
      <w:r w:rsidR="00595ED4" w:rsidRPr="00A10663">
        <w:t xml:space="preserve"> of the amended Directive</w:t>
      </w:r>
      <w:r w:rsidR="000F00F2" w:rsidRPr="00A10663">
        <w:t>.</w:t>
      </w:r>
    </w:p>
    <w:p w14:paraId="7C53F622" w14:textId="2E12EB00" w:rsidR="002B3376" w:rsidRPr="00A10663" w:rsidRDefault="00526587" w:rsidP="00BD6C7D">
      <w:pPr>
        <w:numPr>
          <w:ilvl w:val="0"/>
          <w:numId w:val="5"/>
        </w:numPr>
        <w:spacing w:after="263"/>
        <w:ind w:right="204" w:hanging="566"/>
      </w:pPr>
      <w:r w:rsidRPr="00A10663">
        <w:t>A</w:t>
      </w:r>
      <w:r w:rsidR="000C4AB1" w:rsidRPr="00A10663">
        <w:t xml:space="preserve">t year-end </w:t>
      </w:r>
      <w:r w:rsidR="005104B7" w:rsidRPr="00A10663">
        <w:t>2024</w:t>
      </w:r>
      <w:r w:rsidR="000C4AB1" w:rsidRPr="00A10663">
        <w:t xml:space="preserve">, the macroeconomic </w:t>
      </w:r>
      <w:r w:rsidR="00AC754F" w:rsidRPr="00A10663">
        <w:t>is</w:t>
      </w:r>
      <w:r w:rsidR="000C4AB1" w:rsidRPr="00A10663">
        <w:t xml:space="preserve"> not triggered for </w:t>
      </w:r>
      <w:r w:rsidR="001A4921" w:rsidRPr="00A10663">
        <w:t>Dutch insurers</w:t>
      </w:r>
      <w:r w:rsidR="000C4AB1" w:rsidRPr="00A10663">
        <w:t xml:space="preserve">. The following thus only describes the </w:t>
      </w:r>
      <w:r w:rsidR="00FE18A9" w:rsidRPr="00A10663">
        <w:t xml:space="preserve">currency </w:t>
      </w:r>
      <w:r w:rsidR="000C4AB1" w:rsidRPr="00A10663">
        <w:t xml:space="preserve">VA. </w:t>
      </w:r>
    </w:p>
    <w:p w14:paraId="3C1667F2" w14:textId="4DCF5FA7" w:rsidR="002B3376" w:rsidRPr="00A10663" w:rsidRDefault="000C4AB1" w:rsidP="00BD6C7D">
      <w:pPr>
        <w:numPr>
          <w:ilvl w:val="0"/>
          <w:numId w:val="5"/>
        </w:numPr>
        <w:spacing w:after="263"/>
        <w:ind w:right="204" w:hanging="566"/>
      </w:pPr>
      <w:r w:rsidRPr="00A10663">
        <w:t xml:space="preserve">As the first step of the VA calculation, participants need to determine the relevant currencies of their liabilities. Information reported by currency shall cover the </w:t>
      </w:r>
      <w:r w:rsidR="00391C7E" w:rsidRPr="00A10663">
        <w:t xml:space="preserve">three </w:t>
      </w:r>
      <w:r w:rsidRPr="00A10663">
        <w:lastRenderedPageBreak/>
        <w:t>most material currencies of the business</w:t>
      </w:r>
      <w:r w:rsidRPr="00A10663">
        <w:rPr>
          <w:vertAlign w:val="superscript"/>
        </w:rPr>
        <w:footnoteReference w:id="7"/>
      </w:r>
      <w:r w:rsidRPr="00A10663">
        <w:t xml:space="preserve">. These currencies should be </w:t>
      </w:r>
      <w:r w:rsidR="008E4306" w:rsidRPr="00A10663">
        <w:t>indicated</w:t>
      </w:r>
      <w:r w:rsidR="0059745F" w:rsidRPr="00A10663">
        <w:t xml:space="preserve"> </w:t>
      </w:r>
      <w:r w:rsidRPr="00A10663">
        <w:t xml:space="preserve">in row </w:t>
      </w:r>
      <w:r w:rsidR="00C36D2D" w:rsidRPr="00A10663">
        <w:t>9</w:t>
      </w:r>
      <w:r w:rsidR="002219C0" w:rsidRPr="00A10663">
        <w:t xml:space="preserve"> of the tab “Volatility Adjustment”</w:t>
      </w:r>
      <w:r w:rsidRPr="00A10663">
        <w:t>. Row 1</w:t>
      </w:r>
      <w:r w:rsidR="00C36D2D" w:rsidRPr="00A10663">
        <w:t>1</w:t>
      </w:r>
      <w:r w:rsidRPr="00A10663">
        <w:t xml:space="preserve"> reflects the value of the gross best estimate in the respective currency, but should be given in the reporting currency. For this purpose, the values of the best estimate liabilities should be based on the term structures with the alternative extrapolation method without VA and without transitional measures. In row 1</w:t>
      </w:r>
      <w:r w:rsidR="000F0328" w:rsidRPr="00A10663">
        <w:t>3</w:t>
      </w:r>
      <w:r w:rsidRPr="00A10663">
        <w:t xml:space="preserve">, the average modified duration (in years) of the insurance and reinsurance obligations underlying the best estimate should be specified. The duration is background information that is not used in the calculation of the VA. </w:t>
      </w:r>
    </w:p>
    <w:p w14:paraId="429E707A" w14:textId="4037D0D4" w:rsidR="002B3376" w:rsidRPr="00A10663" w:rsidRDefault="000C4AB1" w:rsidP="00BD6C7D">
      <w:pPr>
        <w:numPr>
          <w:ilvl w:val="0"/>
          <w:numId w:val="5"/>
        </w:numPr>
        <w:ind w:right="204" w:hanging="566"/>
      </w:pPr>
      <w:r w:rsidRPr="00A10663">
        <w:t>Row 1</w:t>
      </w:r>
      <w:r w:rsidR="00EC4904" w:rsidRPr="00A10663">
        <w:t>0</w:t>
      </w:r>
      <w:r w:rsidRPr="00A10663">
        <w:t xml:space="preserve"> reflects the </w:t>
      </w:r>
      <w:r w:rsidR="00E16292" w:rsidRPr="00A10663">
        <w:t>market</w:t>
      </w:r>
      <w:r w:rsidRPr="00A10663">
        <w:t xml:space="preserve"> value of the fixed income investments in the respective currency, but should be given in the reporting currency. In row 1</w:t>
      </w:r>
      <w:r w:rsidR="00EC4904" w:rsidRPr="00A10663">
        <w:t>2</w:t>
      </w:r>
      <w:r w:rsidRPr="00A10663">
        <w:t>, participants need to specify the average duration of the fixed income investments. For this purpose, the term ‘duration’ is to be interpreted in the same manner as in cell C0360 in the ‘List of assets’ template S.06.02.</w:t>
      </w:r>
      <w:r w:rsidRPr="00A10663">
        <w:rPr>
          <w:vertAlign w:val="superscript"/>
        </w:rPr>
        <w:footnoteReference w:id="8"/>
      </w:r>
      <w:r w:rsidRPr="00A10663">
        <w:t xml:space="preserve"> The duration is background information that is not used in the calculation of the VA. </w:t>
      </w:r>
    </w:p>
    <w:p w14:paraId="0E6D0134" w14:textId="3D5B4342" w:rsidR="002B3376" w:rsidRPr="00A10663" w:rsidRDefault="007C3F6D" w:rsidP="00BD6C7D">
      <w:pPr>
        <w:numPr>
          <w:ilvl w:val="0"/>
          <w:numId w:val="5"/>
        </w:numPr>
        <w:ind w:right="204" w:hanging="566"/>
      </w:pPr>
      <w:bookmarkStart w:id="9" w:name="_Ref182249226"/>
      <w:r w:rsidRPr="00A10663">
        <w:rPr>
          <w:b/>
        </w:rPr>
        <w:t xml:space="preserve">Use the </w:t>
      </w:r>
      <w:r w:rsidR="000C5E03" w:rsidRPr="00A10663">
        <w:rPr>
          <w:b/>
        </w:rPr>
        <w:t>“</w:t>
      </w:r>
      <w:r w:rsidR="00F27F9B" w:rsidRPr="00A10663">
        <w:rPr>
          <w:b/>
          <w:bCs/>
        </w:rPr>
        <w:t>T</w:t>
      </w:r>
      <w:r w:rsidRPr="00A10663">
        <w:rPr>
          <w:b/>
        </w:rPr>
        <w:t>echnical Information</w:t>
      </w:r>
      <w:r w:rsidR="000C5E03" w:rsidRPr="00A10663">
        <w:rPr>
          <w:b/>
        </w:rPr>
        <w:t>”</w:t>
      </w:r>
      <w:r w:rsidRPr="00A10663">
        <w:rPr>
          <w:b/>
        </w:rPr>
        <w:t xml:space="preserve"> file t</w:t>
      </w:r>
      <w:r w:rsidR="000C4AB1" w:rsidRPr="00A10663">
        <w:rPr>
          <w:b/>
        </w:rPr>
        <w:t>o determine the</w:t>
      </w:r>
      <w:r w:rsidR="00CC349C" w:rsidRPr="00A10663">
        <w:rPr>
          <w:b/>
        </w:rPr>
        <w:t xml:space="preserve"> </w:t>
      </w:r>
      <w:bookmarkEnd w:id="9"/>
      <w:r w:rsidR="00F27F9B" w:rsidRPr="00A10663">
        <w:rPr>
          <w:b/>
          <w:bCs/>
        </w:rPr>
        <w:t xml:space="preserve">currency </w:t>
      </w:r>
      <w:r w:rsidR="000C4AB1" w:rsidRPr="00A10663">
        <w:rPr>
          <w:b/>
          <w:bCs/>
        </w:rPr>
        <w:t>VA</w:t>
      </w:r>
      <w:r w:rsidR="0034533B" w:rsidRPr="00A10663">
        <w:rPr>
          <w:b/>
          <w:bCs/>
        </w:rPr>
        <w:t>.</w:t>
      </w:r>
      <w:r w:rsidR="0034533B" w:rsidRPr="00A10663">
        <w:t xml:space="preserve"> This file only requires insurers to </w:t>
      </w:r>
      <w:r w:rsidR="00CC349C" w:rsidRPr="00A10663">
        <w:t>specify the relevant currency and the respective credit spread sensitivity ratio (CSSR). In order to do this</w:t>
      </w:r>
      <w:r w:rsidR="004743F0" w:rsidRPr="00A10663">
        <w:t>,</w:t>
      </w:r>
      <w:r w:rsidR="000C4AB1" w:rsidRPr="00A10663">
        <w:t xml:space="preserve"> the undertaking has to calculate the </w:t>
      </w:r>
      <w:r w:rsidR="00B76721" w:rsidRPr="00A10663">
        <w:t>credit spread sensitivity ratio</w:t>
      </w:r>
      <w:r w:rsidR="004743F0" w:rsidRPr="00A10663">
        <w:t xml:space="preserve"> for each relevant currency, see</w:t>
      </w:r>
      <w:r w:rsidR="004F5EEC" w:rsidRPr="00A10663">
        <w:t xml:space="preserve"> paragraph </w:t>
      </w:r>
      <w:r w:rsidR="004F5EEC" w:rsidRPr="00A10663">
        <w:fldChar w:fldCharType="begin"/>
      </w:r>
      <w:r w:rsidR="004F5EEC" w:rsidRPr="00A10663">
        <w:instrText xml:space="preserve"> REF _Ref188523896 \r \h </w:instrText>
      </w:r>
      <w:r w:rsidR="00A10663" w:rsidRPr="00A10663">
        <w:instrText xml:space="preserve"> \* MERGEFORMAT </w:instrText>
      </w:r>
      <w:r w:rsidR="004F5EEC" w:rsidRPr="00A10663">
        <w:fldChar w:fldCharType="separate"/>
      </w:r>
      <w:r w:rsidR="006730B0">
        <w:t>29</w:t>
      </w:r>
      <w:r w:rsidR="004F5EEC" w:rsidRPr="00A10663">
        <w:fldChar w:fldCharType="end"/>
      </w:r>
      <w:r w:rsidR="00B76721" w:rsidRPr="00A10663">
        <w:t>.</w:t>
      </w:r>
      <w:r w:rsidR="000C4AB1" w:rsidRPr="00A10663">
        <w:t xml:space="preserve"> </w:t>
      </w:r>
      <w:r w:rsidR="000044E4" w:rsidRPr="00A10663">
        <w:t xml:space="preserve">The corrected (scaled) currency spread </w:t>
      </w:r>
      <w:r w:rsidR="00D21D23" w:rsidRPr="00A10663">
        <w:t>is also provided in</w:t>
      </w:r>
      <w:r w:rsidR="000044E4" w:rsidRPr="00A10663">
        <w:t xml:space="preserve"> t</w:t>
      </w:r>
      <w:r w:rsidR="00D21D23" w:rsidRPr="00A10663">
        <w:t xml:space="preserve">he </w:t>
      </w:r>
      <w:r w:rsidR="000C5E03" w:rsidRPr="00A10663">
        <w:t>“T</w:t>
      </w:r>
      <w:r w:rsidR="00D21D23" w:rsidRPr="00A10663">
        <w:t>echnical information</w:t>
      </w:r>
      <w:r w:rsidR="000C5E03" w:rsidRPr="00A10663">
        <w:t>”</w:t>
      </w:r>
      <w:r w:rsidR="00D21D23" w:rsidRPr="00A10663">
        <w:t xml:space="preserve"> file sheet “Scenario Data</w:t>
      </w:r>
      <w:r w:rsidR="00D21D23" w:rsidRPr="00A10663" w:rsidDel="00AC6511">
        <w:t xml:space="preserve"> Expected</w:t>
      </w:r>
      <w:r w:rsidR="00D21D23" w:rsidRPr="00A10663">
        <w:t>”</w:t>
      </w:r>
      <w:r w:rsidR="00A1207D" w:rsidRPr="00A10663">
        <w:t>.</w:t>
      </w:r>
    </w:p>
    <w:p w14:paraId="5810F5A6" w14:textId="77777777" w:rsidR="00B76721" w:rsidRPr="00A10663" w:rsidRDefault="00B76721" w:rsidP="00880236">
      <w:pPr>
        <w:ind w:left="0" w:firstLine="0"/>
      </w:pPr>
    </w:p>
    <w:p w14:paraId="45559DBF" w14:textId="35BDCA10" w:rsidR="002B3376" w:rsidRPr="00A10663" w:rsidRDefault="000C4AB1" w:rsidP="00BD6C7D">
      <w:pPr>
        <w:pStyle w:val="Heading5"/>
        <w:spacing w:after="128" w:line="259" w:lineRule="auto"/>
        <w:ind w:left="561"/>
        <w:rPr>
          <w:i/>
        </w:rPr>
      </w:pPr>
      <w:r w:rsidRPr="00A10663">
        <w:rPr>
          <w:i/>
        </w:rPr>
        <w:t xml:space="preserve">Calculation of </w:t>
      </w:r>
      <w:r w:rsidR="0034452C" w:rsidRPr="00A10663">
        <w:rPr>
          <w:i/>
        </w:rPr>
        <w:t>credit spread sensitivity ratio</w:t>
      </w:r>
      <w:r w:rsidRPr="00A10663">
        <w:rPr>
          <w:i/>
        </w:rPr>
        <w:t xml:space="preserve"> </w:t>
      </w:r>
    </w:p>
    <w:p w14:paraId="00917544" w14:textId="2C2D02E3" w:rsidR="002B3376" w:rsidRPr="00A10663" w:rsidRDefault="000C4AB1" w:rsidP="00BD6C7D">
      <w:pPr>
        <w:numPr>
          <w:ilvl w:val="0"/>
          <w:numId w:val="5"/>
        </w:numPr>
        <w:spacing w:after="182"/>
        <w:ind w:right="204" w:hanging="566"/>
      </w:pPr>
      <w:bookmarkStart w:id="10" w:name="_Ref188523896"/>
      <w:r w:rsidRPr="00A10663">
        <w:t xml:space="preserve">The </w:t>
      </w:r>
      <w:r w:rsidR="00B76721" w:rsidRPr="00A10663">
        <w:t>credit spread sensitivity ratio</w:t>
      </w:r>
      <w:r w:rsidRPr="00A10663">
        <w:t xml:space="preserve"> aims to correct for mismatches in the fixed income assets and insurance liabilities in respect of duration and volume. For further background on this ratio, </w:t>
      </w:r>
      <w:r w:rsidR="000F00F2" w:rsidRPr="00A10663">
        <w:t>see option 4 of Annex 2.9 of the EIOPA opinion background analysis document</w:t>
      </w:r>
      <w:r w:rsidRPr="00A10663">
        <w:t xml:space="preserve">. The </w:t>
      </w:r>
      <w:r w:rsidR="00E737F6" w:rsidRPr="00A10663">
        <w:t>credit spread sensitivity ratio</w:t>
      </w:r>
      <w:r w:rsidR="00E737F6" w:rsidRPr="00A10663" w:rsidDel="00E737F6">
        <w:t xml:space="preserve"> </w:t>
      </w:r>
      <w:r w:rsidRPr="00A10663">
        <w:t>is calculated as</w:t>
      </w:r>
      <w:bookmarkEnd w:id="10"/>
      <w:r w:rsidRPr="00A10663">
        <w:t xml:space="preserve"> </w:t>
      </w:r>
    </w:p>
    <w:p w14:paraId="1F255E63" w14:textId="58E103B1" w:rsidR="00261E57" w:rsidRPr="00A10663" w:rsidRDefault="00211D14" w:rsidP="00BD6C7D">
      <w:pPr>
        <w:spacing w:after="182"/>
        <w:ind w:left="566" w:right="204" w:firstLine="0"/>
      </w:pPr>
      <m:oMathPara>
        <m:oMath>
          <m:r>
            <w:rPr>
              <w:rFonts w:ascii="Cambria Math" w:hAnsi="Cambria Math"/>
            </w:rPr>
            <m:t>CSS</m:t>
          </m:r>
          <m:sSub>
            <m:sSubPr>
              <m:ctrlPr>
                <w:rPr>
                  <w:rFonts w:ascii="Cambria Math" w:hAnsi="Cambria Math"/>
                  <w:i/>
                </w:rPr>
              </m:ctrlPr>
            </m:sSubPr>
            <m:e>
              <m:r>
                <w:rPr>
                  <w:rFonts w:ascii="Cambria Math" w:hAnsi="Cambria Math"/>
                </w:rPr>
                <m:t>R</m:t>
              </m:r>
            </m:e>
            <m:sub>
              <m:r>
                <w:rPr>
                  <w:rFonts w:ascii="Cambria Math" w:hAnsi="Cambria Math"/>
                </w:rPr>
                <m:t>i,c</m:t>
              </m:r>
            </m:sub>
          </m:sSub>
          <m:r>
            <w:rPr>
              <w:rFonts w:ascii="Cambria Math" w:hAnsi="Cambria Math"/>
            </w:rPr>
            <m:t>=</m:t>
          </m:r>
          <m:r>
            <m:rPr>
              <m:sty m:val="p"/>
            </m:rPr>
            <w:rPr>
              <w:rFonts w:ascii="Cambria Math" w:hAnsi="Cambria Math"/>
            </w:rPr>
            <m:t>min⁡</m:t>
          </m:r>
          <m:r>
            <w:rPr>
              <w:rFonts w:ascii="Cambria Math" w:hAnsi="Cambria Math"/>
            </w:rPr>
            <m:t>{</m:t>
          </m:r>
          <m:f>
            <m:fPr>
              <m:ctrlPr>
                <w:rPr>
                  <w:rFonts w:ascii="Cambria Math" w:hAnsi="Cambria Math"/>
                  <w:i/>
                </w:rPr>
              </m:ctrlPr>
            </m:fPr>
            <m:num>
              <m:r>
                <w:rPr>
                  <w:rFonts w:eastAsia="Cambria Math" w:cs="Cambria Math"/>
                </w:rPr>
                <m:t>PVBP(</m:t>
              </m:r>
              <m:sSubSup>
                <m:sSubSupPr>
                  <m:ctrlPr>
                    <w:rPr>
                      <w:rFonts w:ascii="Cambria Math" w:eastAsia="Cambria Math" w:hAnsi="Cambria Math" w:cs="Cambria Math"/>
                      <w:i/>
                    </w:rPr>
                  </m:ctrlPr>
                </m:sSubSupPr>
                <m:e>
                  <m:r>
                    <w:rPr>
                      <w:rFonts w:eastAsia="Cambria Math" w:cs="Cambria Math"/>
                    </w:rPr>
                    <m:t>MV</m:t>
                  </m:r>
                </m:e>
                <m:sub>
                  <m:r>
                    <w:rPr>
                      <w:rFonts w:eastAsia="Cambria Math" w:cs="Cambria Math"/>
                    </w:rPr>
                    <m:t>i,c</m:t>
                  </m:r>
                </m:sub>
                <m:sup>
                  <m:r>
                    <w:rPr>
                      <w:rFonts w:eastAsia="Cambria Math" w:cs="Cambria Math"/>
                    </w:rPr>
                    <m:t>FI</m:t>
                  </m:r>
                </m:sup>
              </m:sSubSup>
              <m:r>
                <w:rPr>
                  <w:rFonts w:eastAsia="Cambria Math" w:cs="Cambria Math"/>
                </w:rPr>
                <m:t>)</m:t>
              </m:r>
            </m:num>
            <m:den>
              <m:r>
                <w:rPr>
                  <w:rFonts w:eastAsia="Cambria Math" w:cs="Cambria Math"/>
                </w:rPr>
                <m:t>PVBP</m:t>
              </m:r>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eastAsia="Cambria Math" w:cs="Cambria Math"/>
                        </w:rPr>
                        <m:t>BEL</m:t>
                      </m:r>
                    </m:e>
                    <m:sub>
                      <m:r>
                        <w:rPr>
                          <w:rFonts w:eastAsia="Cambria Math" w:cs="Cambria Math"/>
                        </w:rPr>
                        <m:t>i,c</m:t>
                      </m:r>
                    </m:sub>
                  </m:sSub>
                </m:e>
              </m:d>
            </m:den>
          </m:f>
          <m:r>
            <w:rPr>
              <w:rFonts w:ascii="Cambria Math" w:hAnsi="Cambria Math"/>
            </w:rPr>
            <m:t>;1}</m:t>
          </m:r>
        </m:oMath>
      </m:oMathPara>
    </w:p>
    <w:p w14:paraId="7DCB376C" w14:textId="77777777" w:rsidR="002B3376" w:rsidRPr="00A10663" w:rsidRDefault="000C4AB1" w:rsidP="00BD6C7D">
      <w:pPr>
        <w:ind w:left="566" w:right="204" w:firstLine="0"/>
      </w:pPr>
      <w:r w:rsidRPr="00A10663">
        <w:t xml:space="preserve">where </w:t>
      </w:r>
    </w:p>
    <w:p w14:paraId="781A2F27" w14:textId="6ED12D12" w:rsidR="002B3376" w:rsidRPr="00A10663" w:rsidRDefault="00502E67" w:rsidP="00BD6C7D">
      <w:pPr>
        <w:numPr>
          <w:ilvl w:val="1"/>
          <w:numId w:val="8"/>
        </w:numPr>
        <w:spacing w:after="120"/>
        <w:ind w:right="204" w:hanging="358"/>
      </w:pPr>
      <m:oMath>
        <m:sSubSup>
          <m:sSubSupPr>
            <m:ctrlPr>
              <w:rPr>
                <w:rFonts w:ascii="Cambria Math" w:eastAsia="Cambria Math" w:hAnsi="Cambria Math" w:cs="Cambria Math"/>
                <w:i/>
                <w:iCs/>
              </w:rPr>
            </m:ctrlPr>
          </m:sSubSupPr>
          <m:e>
            <m:r>
              <w:rPr>
                <w:rFonts w:eastAsia="Cambria Math" w:cs="Cambria Math"/>
              </w:rPr>
              <m:t>MV</m:t>
            </m:r>
          </m:e>
          <m:sub>
            <m:r>
              <w:rPr>
                <w:rFonts w:eastAsia="Cambria Math" w:cs="Cambria Math"/>
              </w:rPr>
              <m:t>i</m:t>
            </m:r>
            <m:r>
              <w:rPr>
                <w:rFonts w:eastAsia="Cambria Math" w:cs="Cambria Math"/>
              </w:rPr>
              <m:t>,</m:t>
            </m:r>
            <m:r>
              <w:rPr>
                <w:rFonts w:eastAsia="Cambria Math" w:cs="Cambria Math"/>
              </w:rPr>
              <m:t>c</m:t>
            </m:r>
          </m:sub>
          <m:sup>
            <m:r>
              <w:rPr>
                <w:rFonts w:eastAsia="Cambria Math" w:cs="Cambria Math"/>
              </w:rPr>
              <m:t>FI</m:t>
            </m:r>
          </m:sup>
        </m:sSubSup>
        <m:r>
          <w:rPr>
            <w:rFonts w:eastAsia="Cambria Math" w:cs="Cambria Math"/>
          </w:rPr>
          <m:t xml:space="preserve"> </m:t>
        </m:r>
      </m:oMath>
      <w:r w:rsidR="000C4AB1" w:rsidRPr="00A10663">
        <w:t xml:space="preserve">denotes the market value of undertaking’s </w:t>
      </w:r>
      <w:r w:rsidR="000C4AB1" w:rsidRPr="00A10663">
        <w:rPr>
          <w:i/>
        </w:rPr>
        <w:t>i</w:t>
      </w:r>
      <w:r w:rsidR="000C4AB1" w:rsidRPr="00A10663">
        <w:t xml:space="preserve"> investment in fixed income investments in currency </w:t>
      </w:r>
      <w:r w:rsidR="000C4AB1" w:rsidRPr="00A10663">
        <w:rPr>
          <w:i/>
        </w:rPr>
        <w:t>c</w:t>
      </w:r>
      <w:r w:rsidR="000C4AB1" w:rsidRPr="00A10663">
        <w:t>; the fixed income investments should be identified on the basis of their CIC, according to the following table</w:t>
      </w:r>
      <w:r w:rsidR="00162201" w:rsidRPr="00A10663">
        <w:rPr>
          <w:i/>
          <w:vertAlign w:val="superscript"/>
        </w:rPr>
        <w:footnoteReference w:id="9"/>
      </w:r>
      <w:r w:rsidR="000C4AB1" w:rsidRPr="00A10663">
        <w:t xml:space="preserve">: </w:t>
      </w:r>
    </w:p>
    <w:p w14:paraId="1F8FF45D" w14:textId="77777777" w:rsidR="002B3376" w:rsidRPr="00A10663" w:rsidRDefault="000C4AB1" w:rsidP="00BD6C7D">
      <w:pPr>
        <w:spacing w:after="0" w:line="259" w:lineRule="auto"/>
        <w:ind w:left="924" w:firstLine="0"/>
        <w:jc w:val="left"/>
      </w:pPr>
      <w:r w:rsidRPr="00A10663">
        <w:lastRenderedPageBreak/>
        <w:t xml:space="preserve"> </w:t>
      </w:r>
    </w:p>
    <w:tbl>
      <w:tblPr>
        <w:tblStyle w:val="TableGrid1"/>
        <w:tblW w:w="8299" w:type="dxa"/>
        <w:tblInd w:w="671" w:type="dxa"/>
        <w:tblCellMar>
          <w:top w:w="49" w:type="dxa"/>
          <w:left w:w="76" w:type="dxa"/>
          <w:right w:w="10" w:type="dxa"/>
        </w:tblCellMar>
        <w:tblLook w:val="04A0" w:firstRow="1" w:lastRow="0" w:firstColumn="1" w:lastColumn="0" w:noHBand="0" w:noVBand="1"/>
      </w:tblPr>
      <w:tblGrid>
        <w:gridCol w:w="1097"/>
        <w:gridCol w:w="3042"/>
        <w:gridCol w:w="4160"/>
      </w:tblGrid>
      <w:tr w:rsidR="002B3376" w:rsidRPr="00A10663" w14:paraId="6E9DB47A" w14:textId="77777777" w:rsidTr="00997BD3">
        <w:trPr>
          <w:trHeight w:val="737"/>
        </w:trPr>
        <w:tc>
          <w:tcPr>
            <w:tcW w:w="1097" w:type="dxa"/>
            <w:tcBorders>
              <w:top w:val="single" w:sz="4" w:space="0" w:color="333333"/>
              <w:left w:val="single" w:sz="4" w:space="0" w:color="333333"/>
              <w:bottom w:val="single" w:sz="4" w:space="0" w:color="333333"/>
              <w:right w:val="single" w:sz="4" w:space="0" w:color="333333"/>
            </w:tcBorders>
            <w:shd w:val="clear" w:color="auto" w:fill="D0E7F6"/>
          </w:tcPr>
          <w:p w14:paraId="709E5DBD" w14:textId="77777777" w:rsidR="002B3376" w:rsidRPr="00A10663" w:rsidRDefault="000C4AB1">
            <w:pPr>
              <w:spacing w:after="0" w:line="259" w:lineRule="auto"/>
              <w:ind w:left="4" w:right="2" w:firstLine="0"/>
              <w:jc w:val="center"/>
            </w:pPr>
            <w:r w:rsidRPr="00A10663">
              <w:rPr>
                <w:b/>
                <w:sz w:val="20"/>
              </w:rPr>
              <w:t xml:space="preserve">CIC third position </w:t>
            </w:r>
          </w:p>
        </w:tc>
        <w:tc>
          <w:tcPr>
            <w:tcW w:w="3042" w:type="dxa"/>
            <w:tcBorders>
              <w:top w:val="single" w:sz="4" w:space="0" w:color="333333"/>
              <w:left w:val="single" w:sz="4" w:space="0" w:color="333333"/>
              <w:bottom w:val="single" w:sz="4" w:space="0" w:color="333333"/>
              <w:right w:val="single" w:sz="4" w:space="0" w:color="333333"/>
            </w:tcBorders>
            <w:shd w:val="clear" w:color="auto" w:fill="D0E7F6"/>
            <w:vAlign w:val="center"/>
          </w:tcPr>
          <w:p w14:paraId="067F0038" w14:textId="77777777" w:rsidR="002B3376" w:rsidRPr="00A10663" w:rsidRDefault="000C4AB1">
            <w:pPr>
              <w:spacing w:after="0" w:line="259" w:lineRule="auto"/>
              <w:ind w:left="0" w:right="65" w:firstLine="0"/>
              <w:jc w:val="center"/>
            </w:pPr>
            <w:r w:rsidRPr="00A10663">
              <w:rPr>
                <w:b/>
                <w:sz w:val="20"/>
              </w:rPr>
              <w:t xml:space="preserve">Asset class </w:t>
            </w:r>
          </w:p>
        </w:tc>
        <w:tc>
          <w:tcPr>
            <w:tcW w:w="4160" w:type="dxa"/>
            <w:tcBorders>
              <w:top w:val="single" w:sz="4" w:space="0" w:color="333333"/>
              <w:left w:val="single" w:sz="4" w:space="0" w:color="333333"/>
              <w:bottom w:val="single" w:sz="4" w:space="0" w:color="333333"/>
              <w:right w:val="single" w:sz="4" w:space="0" w:color="333333"/>
            </w:tcBorders>
            <w:shd w:val="clear" w:color="auto" w:fill="D0E7F6"/>
            <w:vAlign w:val="center"/>
          </w:tcPr>
          <w:p w14:paraId="51380ED4" w14:textId="77777777" w:rsidR="002B3376" w:rsidRPr="00A10663" w:rsidRDefault="000C4AB1">
            <w:pPr>
              <w:spacing w:after="0" w:line="259" w:lineRule="auto"/>
              <w:ind w:left="0" w:right="68" w:firstLine="0"/>
              <w:jc w:val="center"/>
            </w:pPr>
            <w:r w:rsidRPr="00A10663">
              <w:rPr>
                <w:b/>
                <w:sz w:val="20"/>
              </w:rPr>
              <w:t xml:space="preserve">Fixed income Assets </w:t>
            </w:r>
          </w:p>
        </w:tc>
      </w:tr>
      <w:tr w:rsidR="002B3376" w:rsidRPr="00A10663" w14:paraId="40DB4789" w14:textId="77777777" w:rsidTr="00997BD3">
        <w:trPr>
          <w:trHeight w:val="311"/>
        </w:trPr>
        <w:tc>
          <w:tcPr>
            <w:tcW w:w="1097" w:type="dxa"/>
            <w:tcBorders>
              <w:top w:val="single" w:sz="4" w:space="0" w:color="333333"/>
              <w:left w:val="single" w:sz="4" w:space="0" w:color="333333"/>
              <w:bottom w:val="single" w:sz="4" w:space="0" w:color="333333"/>
              <w:right w:val="single" w:sz="4" w:space="0" w:color="333333"/>
            </w:tcBorders>
          </w:tcPr>
          <w:p w14:paraId="3321A7E1" w14:textId="77777777" w:rsidR="002B3376" w:rsidRPr="00A10663" w:rsidRDefault="000C4AB1">
            <w:pPr>
              <w:spacing w:after="0" w:line="259" w:lineRule="auto"/>
              <w:ind w:left="0" w:right="69" w:firstLine="0"/>
              <w:jc w:val="center"/>
            </w:pPr>
            <w:r w:rsidRPr="00A10663">
              <w:rPr>
                <w:sz w:val="20"/>
              </w:rPr>
              <w:t xml:space="preserve">1 </w:t>
            </w:r>
          </w:p>
        </w:tc>
        <w:tc>
          <w:tcPr>
            <w:tcW w:w="3042" w:type="dxa"/>
            <w:tcBorders>
              <w:top w:val="single" w:sz="4" w:space="0" w:color="333333"/>
              <w:left w:val="single" w:sz="4" w:space="0" w:color="333333"/>
              <w:bottom w:val="single" w:sz="4" w:space="0" w:color="333333"/>
              <w:right w:val="single" w:sz="4" w:space="0" w:color="333333"/>
            </w:tcBorders>
          </w:tcPr>
          <w:p w14:paraId="2D322A72" w14:textId="77777777" w:rsidR="002B3376" w:rsidRPr="00A10663" w:rsidRDefault="000C4AB1">
            <w:pPr>
              <w:spacing w:after="0" w:line="259" w:lineRule="auto"/>
              <w:ind w:left="0" w:right="66" w:firstLine="0"/>
              <w:jc w:val="center"/>
            </w:pPr>
            <w:r w:rsidRPr="00A10663">
              <w:rPr>
                <w:sz w:val="20"/>
              </w:rPr>
              <w:t xml:space="preserve">Government bonds </w:t>
            </w:r>
          </w:p>
        </w:tc>
        <w:tc>
          <w:tcPr>
            <w:tcW w:w="4160" w:type="dxa"/>
            <w:tcBorders>
              <w:top w:val="single" w:sz="4" w:space="0" w:color="333333"/>
              <w:left w:val="single" w:sz="4" w:space="0" w:color="333333"/>
              <w:bottom w:val="single" w:sz="4" w:space="0" w:color="333333"/>
              <w:right w:val="single" w:sz="4" w:space="0" w:color="333333"/>
            </w:tcBorders>
          </w:tcPr>
          <w:p w14:paraId="78932ABB" w14:textId="77777777" w:rsidR="002B3376" w:rsidRPr="00A10663" w:rsidRDefault="000C4AB1">
            <w:pPr>
              <w:spacing w:after="0" w:line="259" w:lineRule="auto"/>
              <w:ind w:left="0" w:right="67" w:firstLine="0"/>
              <w:jc w:val="center"/>
            </w:pPr>
            <w:r w:rsidRPr="00A10663">
              <w:rPr>
                <w:sz w:val="20"/>
              </w:rPr>
              <w:t xml:space="preserve">Yes </w:t>
            </w:r>
          </w:p>
        </w:tc>
      </w:tr>
      <w:tr w:rsidR="002B3376" w:rsidRPr="00A10663" w14:paraId="7985DD85" w14:textId="77777777" w:rsidTr="00997BD3">
        <w:trPr>
          <w:trHeight w:val="310"/>
        </w:trPr>
        <w:tc>
          <w:tcPr>
            <w:tcW w:w="1097" w:type="dxa"/>
            <w:tcBorders>
              <w:top w:val="single" w:sz="4" w:space="0" w:color="333333"/>
              <w:left w:val="single" w:sz="4" w:space="0" w:color="333333"/>
              <w:bottom w:val="single" w:sz="4" w:space="0" w:color="333333"/>
              <w:right w:val="single" w:sz="4" w:space="0" w:color="333333"/>
            </w:tcBorders>
          </w:tcPr>
          <w:p w14:paraId="3754397F" w14:textId="77777777" w:rsidR="002B3376" w:rsidRPr="00A10663" w:rsidRDefault="000C4AB1">
            <w:pPr>
              <w:spacing w:after="0" w:line="259" w:lineRule="auto"/>
              <w:ind w:left="0" w:right="69" w:firstLine="0"/>
              <w:jc w:val="center"/>
            </w:pPr>
            <w:r w:rsidRPr="00A10663">
              <w:rPr>
                <w:sz w:val="20"/>
              </w:rPr>
              <w:t xml:space="preserve">2 </w:t>
            </w:r>
          </w:p>
        </w:tc>
        <w:tc>
          <w:tcPr>
            <w:tcW w:w="3042" w:type="dxa"/>
            <w:tcBorders>
              <w:top w:val="single" w:sz="4" w:space="0" w:color="333333"/>
              <w:left w:val="single" w:sz="4" w:space="0" w:color="333333"/>
              <w:bottom w:val="single" w:sz="4" w:space="0" w:color="333333"/>
              <w:right w:val="single" w:sz="4" w:space="0" w:color="333333"/>
            </w:tcBorders>
          </w:tcPr>
          <w:p w14:paraId="352E981A" w14:textId="77777777" w:rsidR="002B3376" w:rsidRPr="00A10663" w:rsidRDefault="000C4AB1">
            <w:pPr>
              <w:spacing w:after="0" w:line="259" w:lineRule="auto"/>
              <w:ind w:left="0" w:right="66" w:firstLine="0"/>
              <w:jc w:val="center"/>
            </w:pPr>
            <w:r w:rsidRPr="00A10663">
              <w:rPr>
                <w:sz w:val="20"/>
              </w:rPr>
              <w:t xml:space="preserve">Corporate bonds </w:t>
            </w:r>
          </w:p>
        </w:tc>
        <w:tc>
          <w:tcPr>
            <w:tcW w:w="4160" w:type="dxa"/>
            <w:tcBorders>
              <w:top w:val="single" w:sz="4" w:space="0" w:color="333333"/>
              <w:left w:val="single" w:sz="4" w:space="0" w:color="333333"/>
              <w:bottom w:val="single" w:sz="4" w:space="0" w:color="333333"/>
              <w:right w:val="single" w:sz="4" w:space="0" w:color="333333"/>
            </w:tcBorders>
          </w:tcPr>
          <w:p w14:paraId="578DE48D" w14:textId="77777777" w:rsidR="002B3376" w:rsidRPr="00A10663" w:rsidRDefault="000C4AB1">
            <w:pPr>
              <w:spacing w:after="0" w:line="259" w:lineRule="auto"/>
              <w:ind w:left="0" w:right="67" w:firstLine="0"/>
              <w:jc w:val="center"/>
            </w:pPr>
            <w:r w:rsidRPr="00A10663">
              <w:rPr>
                <w:sz w:val="20"/>
              </w:rPr>
              <w:t xml:space="preserve">Yes </w:t>
            </w:r>
          </w:p>
        </w:tc>
      </w:tr>
      <w:tr w:rsidR="002B3376" w:rsidRPr="00A10663" w14:paraId="046A9305" w14:textId="77777777" w:rsidTr="00997BD3">
        <w:trPr>
          <w:trHeight w:val="313"/>
        </w:trPr>
        <w:tc>
          <w:tcPr>
            <w:tcW w:w="1097" w:type="dxa"/>
            <w:tcBorders>
              <w:top w:val="single" w:sz="4" w:space="0" w:color="333333"/>
              <w:left w:val="single" w:sz="4" w:space="0" w:color="333333"/>
              <w:bottom w:val="single" w:sz="4" w:space="0" w:color="333333"/>
              <w:right w:val="single" w:sz="4" w:space="0" w:color="333333"/>
            </w:tcBorders>
          </w:tcPr>
          <w:p w14:paraId="1F903187" w14:textId="77777777" w:rsidR="002B3376" w:rsidRPr="00A10663" w:rsidRDefault="000C4AB1">
            <w:pPr>
              <w:spacing w:after="0" w:line="259" w:lineRule="auto"/>
              <w:ind w:left="0" w:right="69" w:firstLine="0"/>
              <w:jc w:val="center"/>
            </w:pPr>
            <w:r w:rsidRPr="00A10663">
              <w:rPr>
                <w:sz w:val="20"/>
              </w:rPr>
              <w:t xml:space="preserve">3 </w:t>
            </w:r>
          </w:p>
        </w:tc>
        <w:tc>
          <w:tcPr>
            <w:tcW w:w="3042" w:type="dxa"/>
            <w:tcBorders>
              <w:top w:val="single" w:sz="4" w:space="0" w:color="333333"/>
              <w:left w:val="single" w:sz="4" w:space="0" w:color="333333"/>
              <w:bottom w:val="single" w:sz="4" w:space="0" w:color="333333"/>
              <w:right w:val="single" w:sz="4" w:space="0" w:color="333333"/>
            </w:tcBorders>
          </w:tcPr>
          <w:p w14:paraId="79C8C568" w14:textId="77777777" w:rsidR="002B3376" w:rsidRPr="00A10663" w:rsidRDefault="000C4AB1">
            <w:pPr>
              <w:spacing w:after="0" w:line="259" w:lineRule="auto"/>
              <w:ind w:left="0" w:right="59" w:firstLine="0"/>
              <w:jc w:val="center"/>
            </w:pPr>
            <w:r w:rsidRPr="00A10663">
              <w:rPr>
                <w:sz w:val="20"/>
              </w:rPr>
              <w:t xml:space="preserve">Equity </w:t>
            </w:r>
          </w:p>
        </w:tc>
        <w:tc>
          <w:tcPr>
            <w:tcW w:w="4160" w:type="dxa"/>
            <w:tcBorders>
              <w:top w:val="single" w:sz="4" w:space="0" w:color="333333"/>
              <w:left w:val="single" w:sz="4" w:space="0" w:color="333333"/>
              <w:bottom w:val="single" w:sz="4" w:space="0" w:color="333333"/>
              <w:right w:val="single" w:sz="4" w:space="0" w:color="333333"/>
            </w:tcBorders>
          </w:tcPr>
          <w:p w14:paraId="264A1DEB" w14:textId="77777777" w:rsidR="002B3376" w:rsidRPr="00A10663" w:rsidRDefault="000C4AB1">
            <w:pPr>
              <w:spacing w:after="0" w:line="259" w:lineRule="auto"/>
              <w:ind w:left="0" w:right="65" w:firstLine="0"/>
              <w:jc w:val="center"/>
            </w:pPr>
            <w:r w:rsidRPr="00A10663">
              <w:rPr>
                <w:sz w:val="20"/>
              </w:rPr>
              <w:t xml:space="preserve">No </w:t>
            </w:r>
          </w:p>
        </w:tc>
      </w:tr>
      <w:tr w:rsidR="002B3376" w:rsidRPr="00A10663" w14:paraId="1DA749FB" w14:textId="77777777" w:rsidTr="00997BD3">
        <w:trPr>
          <w:trHeight w:val="1284"/>
        </w:trPr>
        <w:tc>
          <w:tcPr>
            <w:tcW w:w="1097" w:type="dxa"/>
            <w:tcBorders>
              <w:top w:val="single" w:sz="4" w:space="0" w:color="333333"/>
              <w:left w:val="single" w:sz="4" w:space="0" w:color="333333"/>
              <w:bottom w:val="single" w:sz="4" w:space="0" w:color="333333"/>
              <w:right w:val="single" w:sz="4" w:space="0" w:color="333333"/>
            </w:tcBorders>
          </w:tcPr>
          <w:p w14:paraId="0796E7B5" w14:textId="77777777" w:rsidR="002B3376" w:rsidRPr="00A10663" w:rsidRDefault="000C4AB1">
            <w:pPr>
              <w:spacing w:after="0" w:line="259" w:lineRule="auto"/>
              <w:ind w:left="0" w:right="69" w:firstLine="0"/>
              <w:jc w:val="center"/>
            </w:pPr>
            <w:r w:rsidRPr="00A10663">
              <w:rPr>
                <w:sz w:val="20"/>
              </w:rPr>
              <w:t xml:space="preserve">4 </w:t>
            </w:r>
          </w:p>
        </w:tc>
        <w:tc>
          <w:tcPr>
            <w:tcW w:w="3042" w:type="dxa"/>
            <w:tcBorders>
              <w:top w:val="single" w:sz="4" w:space="0" w:color="333333"/>
              <w:left w:val="single" w:sz="4" w:space="0" w:color="333333"/>
              <w:bottom w:val="single" w:sz="4" w:space="0" w:color="333333"/>
              <w:right w:val="single" w:sz="4" w:space="0" w:color="333333"/>
            </w:tcBorders>
          </w:tcPr>
          <w:p w14:paraId="4343C9C5" w14:textId="77777777" w:rsidR="002B3376" w:rsidRPr="00A10663" w:rsidRDefault="000C4AB1">
            <w:pPr>
              <w:spacing w:after="0" w:line="259" w:lineRule="auto"/>
              <w:ind w:left="0" w:firstLine="0"/>
              <w:jc w:val="center"/>
            </w:pPr>
            <w:r w:rsidRPr="00A10663">
              <w:rPr>
                <w:sz w:val="20"/>
              </w:rPr>
              <w:t xml:space="preserve">Collective Investment Undertakings </w:t>
            </w:r>
          </w:p>
        </w:tc>
        <w:tc>
          <w:tcPr>
            <w:tcW w:w="4160" w:type="dxa"/>
            <w:tcBorders>
              <w:top w:val="single" w:sz="4" w:space="0" w:color="333333"/>
              <w:left w:val="single" w:sz="4" w:space="0" w:color="333333"/>
              <w:bottom w:val="single" w:sz="4" w:space="0" w:color="333333"/>
              <w:right w:val="single" w:sz="4" w:space="0" w:color="333333"/>
            </w:tcBorders>
          </w:tcPr>
          <w:p w14:paraId="1AA05B31" w14:textId="77777777" w:rsidR="002B3376" w:rsidRPr="00A10663" w:rsidRDefault="000C4AB1">
            <w:pPr>
              <w:spacing w:after="2" w:line="240" w:lineRule="auto"/>
              <w:ind w:left="0" w:firstLine="0"/>
              <w:jc w:val="center"/>
            </w:pPr>
            <w:r w:rsidRPr="00A10663">
              <w:rPr>
                <w:sz w:val="20"/>
              </w:rPr>
              <w:t xml:space="preserve">For investment funds look through should be performed and fixed income assets within should be identified.  </w:t>
            </w:r>
          </w:p>
          <w:p w14:paraId="14D72B5D" w14:textId="77777777" w:rsidR="002B3376" w:rsidRPr="00A10663" w:rsidRDefault="000C4AB1">
            <w:pPr>
              <w:spacing w:after="0" w:line="259" w:lineRule="auto"/>
              <w:ind w:left="0" w:firstLine="0"/>
              <w:jc w:val="center"/>
            </w:pPr>
            <w:r w:rsidRPr="00A10663">
              <w:rPr>
                <w:sz w:val="20"/>
              </w:rPr>
              <w:t xml:space="preserve">If no look through is possible, only debt funds (CIC 42) are eligible </w:t>
            </w:r>
          </w:p>
        </w:tc>
      </w:tr>
      <w:tr w:rsidR="002B3376" w:rsidRPr="00A10663" w14:paraId="538C6C65" w14:textId="77777777" w:rsidTr="00997BD3">
        <w:trPr>
          <w:trHeight w:val="982"/>
        </w:trPr>
        <w:tc>
          <w:tcPr>
            <w:tcW w:w="1097" w:type="dxa"/>
            <w:tcBorders>
              <w:top w:val="single" w:sz="4" w:space="0" w:color="333333"/>
              <w:left w:val="single" w:sz="4" w:space="0" w:color="333333"/>
              <w:bottom w:val="single" w:sz="4" w:space="0" w:color="333333"/>
              <w:right w:val="single" w:sz="4" w:space="0" w:color="333333"/>
            </w:tcBorders>
          </w:tcPr>
          <w:p w14:paraId="35CDE8B1" w14:textId="77777777" w:rsidR="002B3376" w:rsidRPr="00A10663" w:rsidRDefault="000C4AB1">
            <w:pPr>
              <w:spacing w:after="0" w:line="259" w:lineRule="auto"/>
              <w:ind w:left="0" w:right="69" w:firstLine="0"/>
              <w:jc w:val="center"/>
            </w:pPr>
            <w:r w:rsidRPr="00A10663">
              <w:rPr>
                <w:sz w:val="20"/>
              </w:rPr>
              <w:t xml:space="preserve">5 </w:t>
            </w:r>
          </w:p>
        </w:tc>
        <w:tc>
          <w:tcPr>
            <w:tcW w:w="3042" w:type="dxa"/>
            <w:tcBorders>
              <w:top w:val="single" w:sz="4" w:space="0" w:color="333333"/>
              <w:left w:val="single" w:sz="4" w:space="0" w:color="333333"/>
              <w:bottom w:val="single" w:sz="4" w:space="0" w:color="333333"/>
              <w:right w:val="single" w:sz="4" w:space="0" w:color="333333"/>
            </w:tcBorders>
          </w:tcPr>
          <w:p w14:paraId="3764A538" w14:textId="77777777" w:rsidR="002B3376" w:rsidRPr="00A10663" w:rsidRDefault="000C4AB1">
            <w:pPr>
              <w:spacing w:after="0" w:line="259" w:lineRule="auto"/>
              <w:ind w:left="0" w:right="66" w:firstLine="0"/>
              <w:jc w:val="center"/>
            </w:pPr>
            <w:r w:rsidRPr="00A10663">
              <w:rPr>
                <w:sz w:val="20"/>
              </w:rPr>
              <w:t xml:space="preserve">Structured notes </w:t>
            </w:r>
          </w:p>
        </w:tc>
        <w:tc>
          <w:tcPr>
            <w:tcW w:w="4160" w:type="dxa"/>
            <w:tcBorders>
              <w:top w:val="single" w:sz="4" w:space="0" w:color="333333"/>
              <w:left w:val="single" w:sz="4" w:space="0" w:color="333333"/>
              <w:bottom w:val="single" w:sz="4" w:space="0" w:color="333333"/>
              <w:right w:val="single" w:sz="4" w:space="0" w:color="333333"/>
            </w:tcBorders>
          </w:tcPr>
          <w:p w14:paraId="2B2323CC" w14:textId="77777777" w:rsidR="002B3376" w:rsidRPr="00A10663" w:rsidRDefault="000C4AB1">
            <w:pPr>
              <w:spacing w:after="2" w:line="240" w:lineRule="auto"/>
              <w:ind w:left="0" w:firstLine="0"/>
              <w:jc w:val="center"/>
            </w:pPr>
            <w:r w:rsidRPr="00A10663">
              <w:rPr>
                <w:sz w:val="20"/>
              </w:rPr>
              <w:t xml:space="preserve">Only CIC 52 (structured notes mainly exposed to interest rate risk) and 54 </w:t>
            </w:r>
          </w:p>
          <w:p w14:paraId="7E210366" w14:textId="77777777" w:rsidR="002B3376" w:rsidRPr="00A10663" w:rsidRDefault="000C4AB1">
            <w:pPr>
              <w:spacing w:after="0" w:line="259" w:lineRule="auto"/>
              <w:ind w:left="0" w:firstLine="0"/>
              <w:jc w:val="center"/>
            </w:pPr>
            <w:r w:rsidRPr="00A10663">
              <w:rPr>
                <w:sz w:val="20"/>
              </w:rPr>
              <w:t xml:space="preserve">(structured notes mainly exposed to credit risk) </w:t>
            </w:r>
          </w:p>
        </w:tc>
      </w:tr>
      <w:tr w:rsidR="002B3376" w:rsidRPr="00A10663" w14:paraId="16D65483" w14:textId="77777777" w:rsidTr="00997BD3">
        <w:trPr>
          <w:trHeight w:val="984"/>
        </w:trPr>
        <w:tc>
          <w:tcPr>
            <w:tcW w:w="1097" w:type="dxa"/>
            <w:tcBorders>
              <w:top w:val="single" w:sz="4" w:space="0" w:color="333333"/>
              <w:left w:val="single" w:sz="4" w:space="0" w:color="333333"/>
              <w:bottom w:val="single" w:sz="4" w:space="0" w:color="333333"/>
              <w:right w:val="single" w:sz="4" w:space="0" w:color="333333"/>
            </w:tcBorders>
          </w:tcPr>
          <w:p w14:paraId="4D2740C6" w14:textId="77777777" w:rsidR="002B3376" w:rsidRPr="00A10663" w:rsidRDefault="000C4AB1">
            <w:pPr>
              <w:spacing w:after="0" w:line="259" w:lineRule="auto"/>
              <w:ind w:left="0" w:right="69" w:firstLine="0"/>
              <w:jc w:val="center"/>
            </w:pPr>
            <w:r w:rsidRPr="00A10663">
              <w:rPr>
                <w:sz w:val="20"/>
              </w:rPr>
              <w:t xml:space="preserve">6 </w:t>
            </w:r>
          </w:p>
        </w:tc>
        <w:tc>
          <w:tcPr>
            <w:tcW w:w="3042" w:type="dxa"/>
            <w:tcBorders>
              <w:top w:val="single" w:sz="4" w:space="0" w:color="333333"/>
              <w:left w:val="single" w:sz="4" w:space="0" w:color="333333"/>
              <w:bottom w:val="single" w:sz="4" w:space="0" w:color="333333"/>
              <w:right w:val="single" w:sz="4" w:space="0" w:color="333333"/>
            </w:tcBorders>
          </w:tcPr>
          <w:p w14:paraId="75ECBCD9" w14:textId="77777777" w:rsidR="002B3376" w:rsidRPr="00A10663" w:rsidRDefault="000C4AB1">
            <w:pPr>
              <w:spacing w:after="0" w:line="259" w:lineRule="auto"/>
              <w:ind w:left="0" w:right="66" w:firstLine="0"/>
              <w:jc w:val="center"/>
            </w:pPr>
            <w:proofErr w:type="spellStart"/>
            <w:r w:rsidRPr="00A10663">
              <w:rPr>
                <w:sz w:val="20"/>
              </w:rPr>
              <w:t>Collateralised</w:t>
            </w:r>
            <w:proofErr w:type="spellEnd"/>
            <w:r w:rsidRPr="00A10663">
              <w:rPr>
                <w:sz w:val="20"/>
              </w:rPr>
              <w:t xml:space="preserve"> securities </w:t>
            </w:r>
          </w:p>
        </w:tc>
        <w:tc>
          <w:tcPr>
            <w:tcW w:w="4160" w:type="dxa"/>
            <w:tcBorders>
              <w:top w:val="single" w:sz="4" w:space="0" w:color="333333"/>
              <w:left w:val="single" w:sz="4" w:space="0" w:color="333333"/>
              <w:bottom w:val="single" w:sz="4" w:space="0" w:color="333333"/>
              <w:right w:val="single" w:sz="4" w:space="0" w:color="333333"/>
            </w:tcBorders>
          </w:tcPr>
          <w:p w14:paraId="1615D7A2" w14:textId="77777777" w:rsidR="002B3376" w:rsidRPr="00A10663" w:rsidRDefault="000C4AB1">
            <w:pPr>
              <w:spacing w:after="0" w:line="242" w:lineRule="auto"/>
              <w:ind w:left="0" w:firstLine="0"/>
              <w:jc w:val="center"/>
            </w:pPr>
            <w:r w:rsidRPr="00A10663">
              <w:rPr>
                <w:sz w:val="20"/>
              </w:rPr>
              <w:t>Only CIC 62 (</w:t>
            </w:r>
            <w:proofErr w:type="spellStart"/>
            <w:r w:rsidRPr="00A10663">
              <w:rPr>
                <w:sz w:val="20"/>
              </w:rPr>
              <w:t>collateralised</w:t>
            </w:r>
            <w:proofErr w:type="spellEnd"/>
            <w:r w:rsidRPr="00A10663">
              <w:rPr>
                <w:sz w:val="20"/>
              </w:rPr>
              <w:t xml:space="preserve"> securities mainly exposed to interest rate risk) </w:t>
            </w:r>
          </w:p>
          <w:p w14:paraId="5EFE0CA2" w14:textId="6BD5A578" w:rsidR="002B3376" w:rsidRPr="00A10663" w:rsidRDefault="000C4AB1">
            <w:pPr>
              <w:spacing w:after="0" w:line="259" w:lineRule="auto"/>
              <w:ind w:left="36" w:firstLine="0"/>
              <w:jc w:val="left"/>
            </w:pPr>
            <w:r w:rsidRPr="00A10663">
              <w:rPr>
                <w:sz w:val="20"/>
              </w:rPr>
              <w:t xml:space="preserve">and </w:t>
            </w:r>
            <w:r w:rsidR="0078212D">
              <w:rPr>
                <w:sz w:val="20"/>
              </w:rPr>
              <w:t>6</w:t>
            </w:r>
            <w:r w:rsidRPr="00A10663">
              <w:rPr>
                <w:sz w:val="20"/>
              </w:rPr>
              <w:t>4 (</w:t>
            </w:r>
            <w:proofErr w:type="spellStart"/>
            <w:r w:rsidRPr="00A10663">
              <w:rPr>
                <w:sz w:val="20"/>
              </w:rPr>
              <w:t>collateralised</w:t>
            </w:r>
            <w:proofErr w:type="spellEnd"/>
            <w:r w:rsidRPr="00A10663">
              <w:rPr>
                <w:sz w:val="20"/>
              </w:rPr>
              <w:t xml:space="preserve"> securities mainly </w:t>
            </w:r>
          </w:p>
          <w:p w14:paraId="53379830" w14:textId="77777777" w:rsidR="002B3376" w:rsidRPr="00A10663" w:rsidRDefault="000C4AB1">
            <w:pPr>
              <w:spacing w:after="0" w:line="259" w:lineRule="auto"/>
              <w:ind w:left="0" w:right="67" w:firstLine="0"/>
              <w:jc w:val="center"/>
            </w:pPr>
            <w:r w:rsidRPr="00A10663">
              <w:rPr>
                <w:sz w:val="20"/>
              </w:rPr>
              <w:t xml:space="preserve">exposed to credit risk) </w:t>
            </w:r>
          </w:p>
        </w:tc>
      </w:tr>
      <w:tr w:rsidR="002B3376" w:rsidRPr="00A10663" w14:paraId="23344B89" w14:textId="77777777" w:rsidTr="00997BD3">
        <w:trPr>
          <w:trHeight w:val="329"/>
        </w:trPr>
        <w:tc>
          <w:tcPr>
            <w:tcW w:w="1097" w:type="dxa"/>
            <w:tcBorders>
              <w:top w:val="nil"/>
              <w:left w:val="single" w:sz="4" w:space="0" w:color="333333"/>
              <w:bottom w:val="single" w:sz="4" w:space="0" w:color="333333"/>
              <w:right w:val="single" w:sz="4" w:space="0" w:color="333333"/>
            </w:tcBorders>
          </w:tcPr>
          <w:p w14:paraId="3774EEB9" w14:textId="77777777" w:rsidR="002B3376" w:rsidRPr="00A10663" w:rsidRDefault="000C4AB1">
            <w:pPr>
              <w:spacing w:after="0" w:line="259" w:lineRule="auto"/>
              <w:ind w:left="0" w:right="3" w:firstLine="0"/>
              <w:jc w:val="center"/>
            </w:pPr>
            <w:r w:rsidRPr="00A10663">
              <w:rPr>
                <w:sz w:val="20"/>
              </w:rPr>
              <w:t xml:space="preserve">7 </w:t>
            </w:r>
          </w:p>
        </w:tc>
        <w:tc>
          <w:tcPr>
            <w:tcW w:w="3042" w:type="dxa"/>
            <w:tcBorders>
              <w:top w:val="nil"/>
              <w:left w:val="single" w:sz="4" w:space="0" w:color="333333"/>
              <w:bottom w:val="single" w:sz="4" w:space="0" w:color="333333"/>
              <w:right w:val="single" w:sz="4" w:space="0" w:color="333333"/>
            </w:tcBorders>
          </w:tcPr>
          <w:p w14:paraId="1BF6ED7A" w14:textId="77777777" w:rsidR="002B3376" w:rsidRPr="00A10663" w:rsidRDefault="000C4AB1">
            <w:pPr>
              <w:spacing w:after="0" w:line="259" w:lineRule="auto"/>
              <w:ind w:left="2" w:firstLine="0"/>
              <w:jc w:val="center"/>
            </w:pPr>
            <w:r w:rsidRPr="00A10663">
              <w:rPr>
                <w:sz w:val="20"/>
              </w:rPr>
              <w:t xml:space="preserve">Cash and deposits </w:t>
            </w:r>
          </w:p>
        </w:tc>
        <w:tc>
          <w:tcPr>
            <w:tcW w:w="4160" w:type="dxa"/>
            <w:tcBorders>
              <w:top w:val="nil"/>
              <w:left w:val="single" w:sz="4" w:space="0" w:color="333333"/>
              <w:bottom w:val="single" w:sz="4" w:space="0" w:color="333333"/>
              <w:right w:val="single" w:sz="4" w:space="0" w:color="333333"/>
            </w:tcBorders>
          </w:tcPr>
          <w:p w14:paraId="6B01129F" w14:textId="77777777" w:rsidR="002B3376" w:rsidRPr="00A10663" w:rsidRDefault="000C4AB1">
            <w:pPr>
              <w:spacing w:after="0" w:line="259" w:lineRule="auto"/>
              <w:ind w:left="0" w:right="1" w:firstLine="0"/>
              <w:jc w:val="center"/>
            </w:pPr>
            <w:r w:rsidRPr="00A10663">
              <w:rPr>
                <w:sz w:val="20"/>
              </w:rPr>
              <w:t xml:space="preserve">No </w:t>
            </w:r>
          </w:p>
        </w:tc>
      </w:tr>
      <w:tr w:rsidR="002B3376" w:rsidRPr="00A10663" w14:paraId="7700C1C7" w14:textId="77777777" w:rsidTr="00997BD3">
        <w:trPr>
          <w:trHeight w:val="310"/>
        </w:trPr>
        <w:tc>
          <w:tcPr>
            <w:tcW w:w="1097" w:type="dxa"/>
            <w:tcBorders>
              <w:top w:val="single" w:sz="4" w:space="0" w:color="333333"/>
              <w:left w:val="single" w:sz="4" w:space="0" w:color="333333"/>
              <w:bottom w:val="single" w:sz="4" w:space="0" w:color="333333"/>
              <w:right w:val="single" w:sz="4" w:space="0" w:color="333333"/>
            </w:tcBorders>
          </w:tcPr>
          <w:p w14:paraId="28427E4B" w14:textId="77777777" w:rsidR="002B3376" w:rsidRPr="00A10663" w:rsidRDefault="000C4AB1">
            <w:pPr>
              <w:spacing w:after="0" w:line="259" w:lineRule="auto"/>
              <w:ind w:left="0" w:right="3" w:firstLine="0"/>
              <w:jc w:val="center"/>
            </w:pPr>
            <w:r w:rsidRPr="00A10663">
              <w:rPr>
                <w:sz w:val="20"/>
              </w:rPr>
              <w:t xml:space="preserve">8 </w:t>
            </w:r>
          </w:p>
        </w:tc>
        <w:tc>
          <w:tcPr>
            <w:tcW w:w="3042" w:type="dxa"/>
            <w:tcBorders>
              <w:top w:val="single" w:sz="4" w:space="0" w:color="333333"/>
              <w:left w:val="single" w:sz="4" w:space="0" w:color="333333"/>
              <w:bottom w:val="single" w:sz="4" w:space="0" w:color="333333"/>
              <w:right w:val="single" w:sz="4" w:space="0" w:color="333333"/>
            </w:tcBorders>
          </w:tcPr>
          <w:p w14:paraId="19F3CD94" w14:textId="77777777" w:rsidR="002B3376" w:rsidRPr="00A10663" w:rsidRDefault="000C4AB1">
            <w:pPr>
              <w:spacing w:after="0" w:line="259" w:lineRule="auto"/>
              <w:ind w:left="0" w:firstLine="0"/>
              <w:jc w:val="center"/>
            </w:pPr>
            <w:r w:rsidRPr="00A10663">
              <w:rPr>
                <w:sz w:val="20"/>
              </w:rPr>
              <w:t xml:space="preserve">Mortgages and loans </w:t>
            </w:r>
          </w:p>
        </w:tc>
        <w:tc>
          <w:tcPr>
            <w:tcW w:w="4160" w:type="dxa"/>
            <w:tcBorders>
              <w:top w:val="single" w:sz="4" w:space="0" w:color="333333"/>
              <w:left w:val="single" w:sz="4" w:space="0" w:color="333333"/>
              <w:bottom w:val="single" w:sz="4" w:space="0" w:color="333333"/>
              <w:right w:val="single" w:sz="4" w:space="0" w:color="333333"/>
            </w:tcBorders>
          </w:tcPr>
          <w:p w14:paraId="3922616F" w14:textId="77777777" w:rsidR="002B3376" w:rsidRPr="00A10663" w:rsidRDefault="000C4AB1">
            <w:pPr>
              <w:spacing w:after="0" w:line="259" w:lineRule="auto"/>
              <w:ind w:left="0" w:right="4" w:firstLine="0"/>
              <w:jc w:val="center"/>
            </w:pPr>
            <w:r w:rsidRPr="00A10663">
              <w:rPr>
                <w:sz w:val="20"/>
              </w:rPr>
              <w:t xml:space="preserve">Yes </w:t>
            </w:r>
          </w:p>
        </w:tc>
      </w:tr>
      <w:tr w:rsidR="002B3376" w:rsidRPr="00A10663" w14:paraId="2535692F" w14:textId="77777777" w:rsidTr="00997BD3">
        <w:trPr>
          <w:trHeight w:val="312"/>
        </w:trPr>
        <w:tc>
          <w:tcPr>
            <w:tcW w:w="1097" w:type="dxa"/>
            <w:tcBorders>
              <w:top w:val="single" w:sz="4" w:space="0" w:color="333333"/>
              <w:left w:val="single" w:sz="4" w:space="0" w:color="333333"/>
              <w:bottom w:val="single" w:sz="4" w:space="0" w:color="333333"/>
              <w:right w:val="single" w:sz="4" w:space="0" w:color="333333"/>
            </w:tcBorders>
          </w:tcPr>
          <w:p w14:paraId="7316E30E" w14:textId="77777777" w:rsidR="002B3376" w:rsidRPr="00A10663" w:rsidRDefault="000C4AB1">
            <w:pPr>
              <w:spacing w:after="0" w:line="259" w:lineRule="auto"/>
              <w:ind w:left="0" w:right="3" w:firstLine="0"/>
              <w:jc w:val="center"/>
            </w:pPr>
            <w:r w:rsidRPr="00A10663">
              <w:rPr>
                <w:sz w:val="20"/>
              </w:rPr>
              <w:t xml:space="preserve">9 </w:t>
            </w:r>
          </w:p>
        </w:tc>
        <w:tc>
          <w:tcPr>
            <w:tcW w:w="3042" w:type="dxa"/>
            <w:tcBorders>
              <w:top w:val="single" w:sz="4" w:space="0" w:color="333333"/>
              <w:left w:val="single" w:sz="4" w:space="0" w:color="333333"/>
              <w:bottom w:val="single" w:sz="4" w:space="0" w:color="333333"/>
              <w:right w:val="single" w:sz="4" w:space="0" w:color="333333"/>
            </w:tcBorders>
          </w:tcPr>
          <w:p w14:paraId="5011825A" w14:textId="77777777" w:rsidR="002B3376" w:rsidRPr="00A10663" w:rsidRDefault="000C4AB1">
            <w:pPr>
              <w:spacing w:after="0" w:line="259" w:lineRule="auto"/>
              <w:ind w:left="0" w:firstLine="0"/>
              <w:jc w:val="center"/>
            </w:pPr>
            <w:r w:rsidRPr="00A10663">
              <w:rPr>
                <w:sz w:val="20"/>
              </w:rPr>
              <w:t xml:space="preserve">Property </w:t>
            </w:r>
          </w:p>
        </w:tc>
        <w:tc>
          <w:tcPr>
            <w:tcW w:w="4160" w:type="dxa"/>
            <w:tcBorders>
              <w:top w:val="single" w:sz="4" w:space="0" w:color="333333"/>
              <w:left w:val="single" w:sz="4" w:space="0" w:color="333333"/>
              <w:bottom w:val="single" w:sz="4" w:space="0" w:color="333333"/>
              <w:right w:val="single" w:sz="4" w:space="0" w:color="333333"/>
            </w:tcBorders>
          </w:tcPr>
          <w:p w14:paraId="4AC290AF" w14:textId="77777777" w:rsidR="002B3376" w:rsidRPr="00A10663" w:rsidRDefault="000C4AB1">
            <w:pPr>
              <w:spacing w:after="0" w:line="259" w:lineRule="auto"/>
              <w:ind w:left="0" w:right="1" w:firstLine="0"/>
              <w:jc w:val="center"/>
            </w:pPr>
            <w:r w:rsidRPr="00A10663">
              <w:rPr>
                <w:sz w:val="20"/>
              </w:rPr>
              <w:t xml:space="preserve">No </w:t>
            </w:r>
          </w:p>
        </w:tc>
      </w:tr>
    </w:tbl>
    <w:p w14:paraId="0D11013A" w14:textId="77777777" w:rsidR="002B3376" w:rsidRPr="00A10663" w:rsidRDefault="000C4AB1" w:rsidP="00BD6C7D">
      <w:pPr>
        <w:spacing w:after="170" w:line="259" w:lineRule="auto"/>
        <w:ind w:left="924" w:firstLine="0"/>
        <w:jc w:val="left"/>
      </w:pPr>
      <w:r w:rsidRPr="00A10663">
        <w:t xml:space="preserve"> </w:t>
      </w:r>
    </w:p>
    <w:p w14:paraId="6068B6AE" w14:textId="2A2A432C" w:rsidR="002B3376" w:rsidRPr="00A10663" w:rsidRDefault="000C4AB1" w:rsidP="00BD6C7D">
      <w:pPr>
        <w:numPr>
          <w:ilvl w:val="1"/>
          <w:numId w:val="8"/>
        </w:numPr>
        <w:spacing w:line="297" w:lineRule="auto"/>
        <w:ind w:right="204" w:hanging="358"/>
      </w:pPr>
      <m:oMath>
        <m:r>
          <w:rPr>
            <w:rFonts w:eastAsia="Cambria Math" w:cs="Cambria Math"/>
          </w:rPr>
          <m:t>PVBP</m:t>
        </m:r>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eastAsia="Cambria Math" w:cs="Cambria Math"/>
                  </w:rPr>
                  <m:t>BEL</m:t>
                </m:r>
              </m:e>
              <m:sub>
                <m:r>
                  <w:rPr>
                    <w:rFonts w:eastAsia="Cambria Math" w:cs="Cambria Math"/>
                  </w:rPr>
                  <m:t>i,c</m:t>
                </m:r>
              </m:sub>
            </m:sSub>
          </m:e>
        </m:d>
      </m:oMath>
      <w:r w:rsidRPr="00A10663">
        <w:t xml:space="preserve"> equals the price value of a basis point of the best estimate of the liabilities of undertaking </w:t>
      </w:r>
      <w:r w:rsidRPr="00A10663">
        <w:rPr>
          <w:i/>
        </w:rPr>
        <w:t>i</w:t>
      </w:r>
      <w:r w:rsidRPr="00A10663">
        <w:t xml:space="preserve"> in currency </w:t>
      </w:r>
      <w:r w:rsidRPr="00A10663">
        <w:rPr>
          <w:i/>
        </w:rPr>
        <w:t>c</w:t>
      </w:r>
      <w:r w:rsidRPr="00A10663">
        <w:t xml:space="preserve">; </w:t>
      </w:r>
    </w:p>
    <w:p w14:paraId="2C351C49" w14:textId="7774EC8B" w:rsidR="002B3376" w:rsidRPr="00A10663" w:rsidRDefault="003D0E43" w:rsidP="00BD6C7D">
      <w:pPr>
        <w:numPr>
          <w:ilvl w:val="1"/>
          <w:numId w:val="8"/>
        </w:numPr>
        <w:spacing w:after="205" w:line="316" w:lineRule="auto"/>
        <w:ind w:right="204" w:hanging="358"/>
      </w:pPr>
      <m:oMath>
        <m:r>
          <w:rPr>
            <w:rFonts w:eastAsia="Cambria Math" w:cs="Cambria Math"/>
          </w:rPr>
          <m:t>PVBP(</m:t>
        </m:r>
        <m:sSubSup>
          <m:sSubSupPr>
            <m:ctrlPr>
              <w:rPr>
                <w:rFonts w:ascii="Cambria Math" w:eastAsia="Cambria Math" w:hAnsi="Cambria Math" w:cs="Cambria Math"/>
                <w:i/>
              </w:rPr>
            </m:ctrlPr>
          </m:sSubSupPr>
          <m:e>
            <m:r>
              <w:rPr>
                <w:rFonts w:eastAsia="Cambria Math" w:cs="Cambria Math"/>
              </w:rPr>
              <m:t>MV</m:t>
            </m:r>
          </m:e>
          <m:sub>
            <m:r>
              <w:rPr>
                <w:rFonts w:eastAsia="Cambria Math" w:cs="Cambria Math"/>
              </w:rPr>
              <m:t>i,c</m:t>
            </m:r>
          </m:sub>
          <m:sup>
            <m:r>
              <w:rPr>
                <w:rFonts w:eastAsia="Cambria Math" w:cs="Cambria Math"/>
              </w:rPr>
              <m:t>FI</m:t>
            </m:r>
          </m:sup>
        </m:sSubSup>
        <m:r>
          <w:rPr>
            <w:rFonts w:eastAsia="Cambria Math" w:cs="Cambria Math"/>
          </w:rPr>
          <m:t>)</m:t>
        </m:r>
      </m:oMath>
      <w:r w:rsidR="000C4AB1" w:rsidRPr="00A10663">
        <w:t xml:space="preserve">equals the price value of a basis point of the fixed income investments of undertaking </w:t>
      </w:r>
      <w:r w:rsidR="000C4AB1" w:rsidRPr="00A10663">
        <w:rPr>
          <w:i/>
        </w:rPr>
        <w:t>i</w:t>
      </w:r>
      <w:r w:rsidR="000C4AB1" w:rsidRPr="00A10663">
        <w:t xml:space="preserve"> in currency </w:t>
      </w:r>
      <w:r w:rsidR="000C4AB1" w:rsidRPr="00A10663">
        <w:rPr>
          <w:i/>
        </w:rPr>
        <w:t>c</w:t>
      </w:r>
      <w:r w:rsidR="000C4AB1" w:rsidRPr="00A10663">
        <w:t xml:space="preserve">. </w:t>
      </w:r>
    </w:p>
    <w:p w14:paraId="4798F5EF" w14:textId="2746D047" w:rsidR="002B3376" w:rsidRPr="00A10663" w:rsidRDefault="00981F8F" w:rsidP="00BD6C7D">
      <w:pPr>
        <w:numPr>
          <w:ilvl w:val="0"/>
          <w:numId w:val="5"/>
        </w:numPr>
        <w:spacing w:after="260"/>
        <w:ind w:right="204" w:hanging="566"/>
      </w:pPr>
      <w:r w:rsidRPr="00A10663">
        <w:t xml:space="preserve">For </w:t>
      </w:r>
      <w:r w:rsidR="000C4AB1" w:rsidRPr="00A10663">
        <w:t xml:space="preserve">the purpose of the data collection, where according to the undertaking’s assessment the spread duration of the assets exceeds the duration of the liabilities and the volume of fixed income compares to the volume of the best estimate, the </w:t>
      </w:r>
      <w:r w:rsidR="00B33D03" w:rsidRPr="00A10663">
        <w:t>credit spread sensitivity ratio</w:t>
      </w:r>
      <w:r w:rsidR="000C4AB1" w:rsidRPr="00A10663">
        <w:t xml:space="preserve"> can be set to 1. In this case, the undertaking should provide an explanation in its response. </w:t>
      </w:r>
    </w:p>
    <w:p w14:paraId="521FA97D" w14:textId="114F5C33" w:rsidR="002B3376" w:rsidRPr="00A10663" w:rsidRDefault="000C4AB1" w:rsidP="00BD6C7D">
      <w:pPr>
        <w:pStyle w:val="Heading5"/>
        <w:spacing w:after="128" w:line="259" w:lineRule="auto"/>
        <w:ind w:left="561"/>
        <w:rPr>
          <w:i/>
        </w:rPr>
      </w:pPr>
      <w:r w:rsidRPr="00A10663">
        <w:rPr>
          <w:i/>
        </w:rPr>
        <w:t xml:space="preserve">Calculation of </w:t>
      </w:r>
      <m:oMath>
        <m:r>
          <m:rPr>
            <m:sty m:val="bi"/>
          </m:rPr>
          <w:rPr>
            <w:rFonts w:eastAsia="Cambria Math" w:cs="Cambria Math"/>
          </w:rPr>
          <m:t>PVBP(</m:t>
        </m:r>
        <m:sSub>
          <m:sSubPr>
            <m:ctrlPr>
              <w:rPr>
                <w:rFonts w:ascii="Cambria Math" w:eastAsia="Cambria Math" w:hAnsi="Cambria Math" w:cs="Cambria Math"/>
                <w:i/>
              </w:rPr>
            </m:ctrlPr>
          </m:sSubPr>
          <m:e>
            <m:r>
              <m:rPr>
                <m:sty m:val="bi"/>
              </m:rPr>
              <w:rPr>
                <w:rFonts w:eastAsia="Cambria Math" w:cs="Cambria Math"/>
              </w:rPr>
              <m:t>BEL</m:t>
            </m:r>
          </m:e>
          <m:sub>
            <m:r>
              <m:rPr>
                <m:sty m:val="bi"/>
              </m:rPr>
              <w:rPr>
                <w:rFonts w:eastAsia="Cambria Math" w:cs="Cambria Math"/>
              </w:rPr>
              <m:t>i,c</m:t>
            </m:r>
          </m:sub>
        </m:sSub>
        <m:r>
          <m:rPr>
            <m:sty m:val="bi"/>
          </m:rPr>
          <w:rPr>
            <w:rFonts w:eastAsia="Cambria Math" w:cs="Cambria Math"/>
          </w:rPr>
          <m:t>)</m:t>
        </m:r>
      </m:oMath>
    </w:p>
    <w:p w14:paraId="1EB45D84" w14:textId="10C1EFD5" w:rsidR="0090671A" w:rsidRPr="00A10663" w:rsidRDefault="000C4AB1" w:rsidP="00BD6C7D">
      <w:pPr>
        <w:numPr>
          <w:ilvl w:val="0"/>
          <w:numId w:val="5"/>
        </w:numPr>
        <w:ind w:right="204" w:hanging="566"/>
      </w:pPr>
      <w:r w:rsidRPr="00A10663">
        <w:t xml:space="preserve">The price value of a basis point of the best estimate of the liabilities should be calculated as a sensitivity with regard to the value of the VA. This means that </w:t>
      </w:r>
      <w:r w:rsidRPr="00A10663">
        <w:rPr>
          <w:rFonts w:eastAsia="Cambria Math" w:cs="Cambria Math"/>
        </w:rPr>
        <w:t>𝑃𝑉𝐵𝑃(𝐵𝐸𝐿</w:t>
      </w:r>
      <w:r w:rsidRPr="00A10663">
        <w:rPr>
          <w:rFonts w:eastAsia="Cambria Math" w:cs="Cambria Math"/>
          <w:vertAlign w:val="subscript"/>
        </w:rPr>
        <w:t>𝑖,𝑐</w:t>
      </w:r>
      <w:r w:rsidRPr="00A10663">
        <w:rPr>
          <w:rFonts w:eastAsia="Cambria Math" w:cs="Cambria Math"/>
        </w:rPr>
        <w:t>)</w:t>
      </w:r>
      <w:r w:rsidRPr="00A10663">
        <w:t xml:space="preserve"> is calculated as the difference in the value of the best estimate</w:t>
      </w:r>
      <w:r w:rsidRPr="00A10663">
        <w:rPr>
          <w:vertAlign w:val="superscript"/>
        </w:rPr>
        <w:footnoteReference w:id="10"/>
      </w:r>
      <w:r w:rsidRPr="00A10663">
        <w:t xml:space="preserve"> with and without applying the VA</w:t>
      </w:r>
      <w:r w:rsidR="009677AB" w:rsidRPr="00A10663">
        <w:t xml:space="preserve">, </w:t>
      </w:r>
      <w:r w:rsidR="0052263A" w:rsidRPr="00A10663">
        <w:t>where the VA</w:t>
      </w:r>
      <w:r w:rsidRPr="00A10663">
        <w:t xml:space="preserve"> </w:t>
      </w:r>
      <w:r w:rsidR="00963F8C" w:rsidRPr="00A10663">
        <w:t xml:space="preserve">excludes </w:t>
      </w:r>
      <w:r w:rsidRPr="00A10663">
        <w:t xml:space="preserve">undertaking specific </w:t>
      </w:r>
      <w:r w:rsidR="004139E0" w:rsidRPr="00A10663">
        <w:t>factors</w:t>
      </w:r>
      <w:r w:rsidR="007C2765" w:rsidRPr="00A10663">
        <w:t>:</w:t>
      </w:r>
    </w:p>
    <w:p w14:paraId="23B60E2F" w14:textId="46E3AB9F" w:rsidR="002B3376" w:rsidRPr="00A10663" w:rsidRDefault="000117F2" w:rsidP="00CB452B">
      <w:pPr>
        <w:ind w:left="0" w:right="204" w:firstLine="0"/>
        <w:jc w:val="center"/>
      </w:pPr>
      <m:oMathPara>
        <m:oMath>
          <m:r>
            <m:rPr>
              <m:sty m:val="p"/>
            </m:rPr>
            <w:rPr>
              <w:rFonts w:eastAsia="Cambria Math" w:cs="Cambria Math"/>
            </w:rPr>
            <m:t>PVBP(</m:t>
          </m:r>
          <m:sSub>
            <m:sSubPr>
              <m:ctrlPr>
                <w:rPr>
                  <w:rFonts w:ascii="Cambria Math" w:eastAsia="Cambria Math" w:hAnsi="Cambria Math" w:cs="Cambria Math"/>
                </w:rPr>
              </m:ctrlPr>
            </m:sSubPr>
            <m:e>
              <m:r>
                <m:rPr>
                  <m:sty m:val="p"/>
                </m:rPr>
                <w:rPr>
                  <w:rFonts w:eastAsia="Cambria Math" w:cs="Cambria Math"/>
                </w:rPr>
                <m:t>BEL</m:t>
              </m:r>
            </m:e>
            <m:sub>
              <m:r>
                <m:rPr>
                  <m:sty m:val="p"/>
                </m:rPr>
                <w:rPr>
                  <w:rFonts w:eastAsia="Cambria Math" w:cs="Cambria Math"/>
                </w:rPr>
                <m:t>i,c</m:t>
              </m:r>
            </m:sub>
          </m:sSub>
          <m:r>
            <m:rPr>
              <m:sty m:val="p"/>
            </m:rPr>
            <w:rPr>
              <w:rFonts w:eastAsia="Cambria Math" w:cs="Cambria Math"/>
            </w:rPr>
            <m:t>)=</m:t>
          </m:r>
          <m:f>
            <m:fPr>
              <m:ctrlPr>
                <w:rPr>
                  <w:rFonts w:ascii="Cambria Math" w:eastAsia="Cambria Math" w:hAnsi="Cambria Math" w:cs="Cambria Math"/>
                </w:rPr>
              </m:ctrlPr>
            </m:fPr>
            <m:num>
              <m:r>
                <w:rPr>
                  <w:rFonts w:eastAsia="Cambria Math" w:cs="Cambria Math"/>
                </w:rPr>
                <m:t>BE</m:t>
              </m:r>
              <m:sSub>
                <m:sSubPr>
                  <m:ctrlPr>
                    <w:rPr>
                      <w:rFonts w:ascii="Cambria Math" w:eastAsia="Cambria Math" w:hAnsi="Cambria Math" w:cs="Cambria Math"/>
                      <w:i/>
                    </w:rPr>
                  </m:ctrlPr>
                </m:sSubPr>
                <m:e>
                  <m:r>
                    <w:rPr>
                      <w:rFonts w:eastAsia="Cambria Math" w:cs="Cambria Math"/>
                    </w:rPr>
                    <m:t>L</m:t>
                  </m:r>
                </m:e>
                <m:sub>
                  <m:r>
                    <w:rPr>
                      <w:rFonts w:eastAsia="Cambria Math" w:cs="Cambria Math"/>
                    </w:rPr>
                    <m:t>i,c</m:t>
                  </m:r>
                </m:sub>
              </m:sSub>
              <m:d>
                <m:dPr>
                  <m:ctrlPr>
                    <w:rPr>
                      <w:rFonts w:ascii="Cambria Math" w:eastAsia="Cambria Math" w:hAnsi="Cambria Math" w:cs="Cambria Math"/>
                      <w:i/>
                    </w:rPr>
                  </m:ctrlPr>
                </m:dPr>
                <m:e>
                  <m:r>
                    <w:rPr>
                      <w:rFonts w:eastAsia="Cambria Math" w:cs="Cambria Math"/>
                    </w:rPr>
                    <m:t>RF</m:t>
                  </m:r>
                  <m:sSub>
                    <m:sSubPr>
                      <m:ctrlPr>
                        <w:rPr>
                          <w:rFonts w:ascii="Cambria Math" w:eastAsia="Cambria Math" w:hAnsi="Cambria Math" w:cs="Cambria Math"/>
                          <w:i/>
                        </w:rPr>
                      </m:ctrlPr>
                    </m:sSubPr>
                    <m:e>
                      <m:r>
                        <w:rPr>
                          <w:rFonts w:eastAsia="Cambria Math" w:cs="Cambria Math"/>
                        </w:rPr>
                        <m:t>R</m:t>
                      </m:r>
                    </m:e>
                    <m:sub>
                      <m:r>
                        <w:rPr>
                          <w:rFonts w:eastAsia="Cambria Math" w:cs="Cambria Math"/>
                        </w:rPr>
                        <m:t>c</m:t>
                      </m:r>
                    </m:sub>
                  </m:sSub>
                </m:e>
              </m:d>
              <m:r>
                <w:rPr>
                  <w:rFonts w:eastAsia="Cambria Math" w:cs="Cambria Math"/>
                </w:rPr>
                <m:t>-BE</m:t>
              </m:r>
              <m:sSub>
                <m:sSubPr>
                  <m:ctrlPr>
                    <w:rPr>
                      <w:rFonts w:ascii="Cambria Math" w:eastAsia="Cambria Math" w:hAnsi="Cambria Math" w:cs="Cambria Math"/>
                      <w:i/>
                    </w:rPr>
                  </m:ctrlPr>
                </m:sSubPr>
                <m:e>
                  <m:r>
                    <w:rPr>
                      <w:rFonts w:eastAsia="Cambria Math" w:cs="Cambria Math"/>
                    </w:rPr>
                    <m:t>L</m:t>
                  </m:r>
                </m:e>
                <m:sub>
                  <m:r>
                    <w:rPr>
                      <w:rFonts w:eastAsia="Cambria Math" w:cs="Cambria Math"/>
                    </w:rPr>
                    <m:t>i,c</m:t>
                  </m:r>
                </m:sub>
              </m:sSub>
              <m:r>
                <w:rPr>
                  <w:rFonts w:eastAsia="Cambria Math" w:cs="Cambria Math"/>
                </w:rPr>
                <m:t>(RF</m:t>
              </m:r>
              <m:sSub>
                <m:sSubPr>
                  <m:ctrlPr>
                    <w:rPr>
                      <w:rFonts w:ascii="Cambria Math" w:eastAsia="Cambria Math" w:hAnsi="Cambria Math" w:cs="Cambria Math"/>
                      <w:i/>
                    </w:rPr>
                  </m:ctrlPr>
                </m:sSubPr>
                <m:e>
                  <m:r>
                    <w:rPr>
                      <w:rFonts w:eastAsia="Cambria Math" w:cs="Cambria Math"/>
                    </w:rPr>
                    <m:t>R</m:t>
                  </m:r>
                </m:e>
                <m:sub>
                  <m:r>
                    <w:rPr>
                      <w:rFonts w:eastAsia="Cambria Math" w:cs="Cambria Math"/>
                    </w:rPr>
                    <m:t>c</m:t>
                  </m:r>
                </m:sub>
              </m:sSub>
              <m:r>
                <w:rPr>
                  <w:rFonts w:eastAsia="Cambria Math" w:cs="Cambria Math"/>
                </w:rPr>
                <m:t>+85%</m:t>
              </m:r>
              <m:r>
                <m:rPr>
                  <m:sty m:val="p"/>
                </m:rPr>
                <w:rPr>
                  <w:rFonts w:eastAsia="Cambria Math" w:cs="Cambria Math"/>
                </w:rPr>
                <m:t>⋅</m:t>
              </m:r>
              <m:r>
                <w:rPr>
                  <w:rFonts w:eastAsia="Cambria Math" w:cs="Cambria Math"/>
                </w:rPr>
                <m:t>RC_</m:t>
              </m:r>
              <m:sSub>
                <m:sSubPr>
                  <m:ctrlPr>
                    <w:rPr>
                      <w:rFonts w:ascii="Cambria Math" w:eastAsia="Cambria Math" w:hAnsi="Cambria Math" w:cs="Cambria Math"/>
                      <w:i/>
                    </w:rPr>
                  </m:ctrlPr>
                </m:sSubPr>
                <m:e>
                  <m:r>
                    <w:rPr>
                      <w:rFonts w:eastAsia="Cambria Math" w:cs="Cambria Math"/>
                    </w:rPr>
                    <m:t>S</m:t>
                  </m:r>
                </m:e>
                <m:sub>
                  <m:r>
                    <w:rPr>
                      <w:rFonts w:eastAsia="Cambria Math" w:cs="Cambria Math"/>
                    </w:rPr>
                    <m:t>c</m:t>
                  </m:r>
                </m:sub>
              </m:sSub>
              <m:r>
                <w:rPr>
                  <w:rFonts w:eastAsia="Cambria Math" w:cs="Cambria Math"/>
                </w:rPr>
                <m:t>)</m:t>
              </m:r>
            </m:num>
            <m:den>
              <m:r>
                <w:rPr>
                  <w:rFonts w:eastAsia="Cambria Math" w:cs="Cambria Math"/>
                </w:rPr>
                <m:t>85%</m:t>
              </m:r>
              <m:r>
                <m:rPr>
                  <m:sty m:val="p"/>
                </m:rPr>
                <w:rPr>
                  <w:rFonts w:eastAsia="Cambria Math" w:cs="Cambria Math"/>
                </w:rPr>
                <m:t xml:space="preserve">⋅ </m:t>
              </m:r>
              <m:r>
                <w:rPr>
                  <w:rFonts w:eastAsia="Cambria Math" w:cs="Cambria Math"/>
                </w:rPr>
                <m:t>RC_</m:t>
              </m:r>
              <m:sSub>
                <m:sSubPr>
                  <m:ctrlPr>
                    <w:rPr>
                      <w:rFonts w:ascii="Cambria Math" w:eastAsia="Cambria Math" w:hAnsi="Cambria Math" w:cs="Cambria Math"/>
                      <w:i/>
                    </w:rPr>
                  </m:ctrlPr>
                </m:sSubPr>
                <m:e>
                  <m:r>
                    <w:rPr>
                      <w:rFonts w:eastAsia="Cambria Math" w:cs="Cambria Math"/>
                    </w:rPr>
                    <m:t>S</m:t>
                  </m:r>
                </m:e>
                <m:sub>
                  <m:r>
                    <w:rPr>
                      <w:rFonts w:eastAsia="Cambria Math" w:cs="Cambria Math"/>
                    </w:rPr>
                    <m:t>c</m:t>
                  </m:r>
                </m:sub>
              </m:sSub>
            </m:den>
          </m:f>
        </m:oMath>
      </m:oMathPara>
    </w:p>
    <w:p w14:paraId="34DC62D4" w14:textId="77777777" w:rsidR="0090671A" w:rsidRPr="00A10663" w:rsidRDefault="0090671A" w:rsidP="00BD6C7D">
      <w:pPr>
        <w:spacing w:after="0" w:line="259" w:lineRule="auto"/>
        <w:ind w:left="3109" w:hanging="10"/>
        <w:jc w:val="left"/>
        <w:rPr>
          <w:rFonts w:eastAsia="Cambria Math" w:cs="Cambria Math"/>
        </w:rPr>
      </w:pPr>
    </w:p>
    <w:p w14:paraId="4AB5251A" w14:textId="1A387078" w:rsidR="002B3376" w:rsidRPr="00A10663" w:rsidRDefault="000C4AB1" w:rsidP="00BD6C7D">
      <w:pPr>
        <w:ind w:left="566" w:right="204" w:firstLine="0"/>
      </w:pPr>
      <w:r w:rsidRPr="00A10663">
        <w:t xml:space="preserve">where  </w:t>
      </w:r>
    </w:p>
    <w:p w14:paraId="225D275F" w14:textId="77777777" w:rsidR="002B3376" w:rsidRPr="00A10663" w:rsidRDefault="000C4AB1" w:rsidP="00BD6C7D">
      <w:pPr>
        <w:numPr>
          <w:ilvl w:val="1"/>
          <w:numId w:val="9"/>
        </w:numPr>
        <w:spacing w:after="174"/>
        <w:ind w:right="204" w:hanging="358"/>
      </w:pPr>
      <w:r w:rsidRPr="00A10663">
        <w:rPr>
          <w:rFonts w:eastAsia="Cambria Math" w:cs="Cambria Math"/>
        </w:rPr>
        <w:t>𝑅𝐹𝑅</w:t>
      </w:r>
      <w:r w:rsidRPr="00A10663">
        <w:rPr>
          <w:rFonts w:eastAsia="Cambria Math" w:cs="Cambria Math"/>
          <w:vertAlign w:val="subscript"/>
        </w:rPr>
        <w:t>𝑐</w:t>
      </w:r>
      <w:r w:rsidRPr="00A10663">
        <w:t xml:space="preserve"> denotes the basic risk-free interest rate term structure for currency </w:t>
      </w:r>
      <w:r w:rsidRPr="00A10663">
        <w:rPr>
          <w:i/>
        </w:rPr>
        <w:t>c</w:t>
      </w:r>
      <w:r w:rsidRPr="00A10663">
        <w:t xml:space="preserve"> </w:t>
      </w:r>
    </w:p>
    <w:p w14:paraId="6ABC2194" w14:textId="71A79CDF" w:rsidR="002B3376" w:rsidRPr="00A10663" w:rsidRDefault="000C4AB1" w:rsidP="00BD6C7D">
      <w:pPr>
        <w:numPr>
          <w:ilvl w:val="1"/>
          <w:numId w:val="9"/>
        </w:numPr>
        <w:spacing w:line="306" w:lineRule="auto"/>
        <w:ind w:right="204" w:hanging="358"/>
      </w:pPr>
      <w:r w:rsidRPr="00A10663">
        <w:rPr>
          <w:rFonts w:eastAsia="Cambria Math" w:cs="Cambria Math"/>
        </w:rPr>
        <w:t xml:space="preserve">𝑅𝐹𝑅 + </w:t>
      </w:r>
      <w:r w:rsidR="00C74B2A" w:rsidRPr="00A10663">
        <w:rPr>
          <w:rFonts w:eastAsia="Cambria Math" w:cs="Cambria Math"/>
        </w:rPr>
        <w:t>85%*</w:t>
      </w:r>
      <w:r w:rsidRPr="00A10663">
        <w:rPr>
          <w:rFonts w:eastAsia="Cambria Math" w:cs="Cambria Math"/>
        </w:rPr>
        <w:t>𝑅𝐶_𝑆</w:t>
      </w:r>
      <w:r w:rsidRPr="00A10663">
        <w:rPr>
          <w:rFonts w:eastAsia="Cambria Math" w:cs="Cambria Math"/>
          <w:vertAlign w:val="subscript"/>
        </w:rPr>
        <w:t>𝑐</w:t>
      </w:r>
      <w:r w:rsidRPr="00A10663">
        <w:t xml:space="preserve"> denotes the basic risk-free interest rate term structure, to which a volatility adjustment of size </w:t>
      </w:r>
      <w:r w:rsidR="00715D28" w:rsidRPr="00A10663">
        <w:rPr>
          <w:rFonts w:eastAsia="Cambria Math" w:cs="Cambria Math"/>
        </w:rPr>
        <w:t>85%</w:t>
      </w:r>
      <w:r w:rsidRPr="00A10663">
        <w:rPr>
          <w:rFonts w:eastAsia="Cambria Math" w:cs="Cambria Math"/>
        </w:rPr>
        <w:t xml:space="preserve"> ⋅ 𝑅𝐶_𝑆</w:t>
      </w:r>
      <w:r w:rsidRPr="00A10663">
        <w:rPr>
          <w:rFonts w:eastAsia="Cambria Math" w:cs="Cambria Math"/>
          <w:vertAlign w:val="subscript"/>
        </w:rPr>
        <w:t>𝑐</w:t>
      </w:r>
      <w:r w:rsidRPr="00A10663">
        <w:t xml:space="preserve"> is applied</w:t>
      </w:r>
      <w:r w:rsidRPr="00A10663">
        <w:rPr>
          <w:vertAlign w:val="superscript"/>
        </w:rPr>
        <w:footnoteReference w:id="11"/>
      </w:r>
      <w:r w:rsidRPr="00A10663">
        <w:t xml:space="preserve"> </w:t>
      </w:r>
    </w:p>
    <w:p w14:paraId="6CFCE6AA" w14:textId="70FFC4AB" w:rsidR="00A36C1C" w:rsidRPr="00A10663" w:rsidRDefault="000C4AB1" w:rsidP="00BD6C7D">
      <w:pPr>
        <w:numPr>
          <w:ilvl w:val="1"/>
          <w:numId w:val="9"/>
        </w:numPr>
        <w:spacing w:after="0" w:line="386" w:lineRule="auto"/>
        <w:ind w:right="204" w:hanging="358"/>
      </w:pPr>
      <w:r w:rsidRPr="00A10663">
        <w:rPr>
          <w:rFonts w:eastAsia="Cambria Math" w:cs="Cambria Math"/>
        </w:rPr>
        <w:t>𝑅𝐶_𝑆</w:t>
      </w:r>
      <w:r w:rsidRPr="00A10663">
        <w:rPr>
          <w:rFonts w:eastAsia="Cambria Math" w:cs="Cambria Math"/>
          <w:vertAlign w:val="subscript"/>
        </w:rPr>
        <w:t>𝑐</w:t>
      </w:r>
      <w:r w:rsidRPr="00A10663">
        <w:t xml:space="preserve"> denotes the </w:t>
      </w:r>
      <w:r w:rsidR="00305E91" w:rsidRPr="00A10663">
        <w:t xml:space="preserve">scaled </w:t>
      </w:r>
      <w:r w:rsidRPr="00A10663">
        <w:t>risk corrected spread of the reference portfolio in currency</w:t>
      </w:r>
    </w:p>
    <w:p w14:paraId="1DB1FC63" w14:textId="7B1A8209" w:rsidR="002B3376" w:rsidRPr="00A10663" w:rsidRDefault="000C4AB1" w:rsidP="00BD6C7D">
      <w:pPr>
        <w:numPr>
          <w:ilvl w:val="0"/>
          <w:numId w:val="5"/>
        </w:numPr>
        <w:spacing w:after="97"/>
        <w:ind w:right="204" w:hanging="566"/>
      </w:pPr>
      <w:r w:rsidRPr="00A10663">
        <w:t xml:space="preserve">To determine </w:t>
      </w:r>
      <w:r w:rsidRPr="00A10663">
        <w:rPr>
          <w:rFonts w:eastAsia="Cambria Math" w:cs="Cambria Math"/>
        </w:rPr>
        <w:t>𝑃𝑉𝐵𝑃(𝐵𝐸𝐿</w:t>
      </w:r>
      <w:r w:rsidRPr="00A10663">
        <w:rPr>
          <w:rFonts w:eastAsia="Cambria Math" w:cs="Cambria Math"/>
          <w:vertAlign w:val="subscript"/>
        </w:rPr>
        <w:t>𝑖,𝑐</w:t>
      </w:r>
      <w:r w:rsidRPr="00A10663">
        <w:rPr>
          <w:rFonts w:eastAsia="Cambria Math" w:cs="Cambria Math"/>
        </w:rPr>
        <w:t>)</w:t>
      </w:r>
      <w:r w:rsidRPr="00A10663">
        <w:t xml:space="preserve">, a revaluation of the best estimate needs to be performed </w:t>
      </w:r>
      <w:r w:rsidR="003A2622" w:rsidRPr="00A10663">
        <w:t xml:space="preserve">including a revaluation </w:t>
      </w:r>
      <w:r w:rsidRPr="00A10663">
        <w:t xml:space="preserve">of future discretionary benefits (i.e. including the loss-absorbing capacity of technical provisions). For the purpose of that calculation, asset values stay unchanged - no impact of a change in credit spreads on undertakings assets should be taken into account. Where an undertaking has liabilities denoted in several currencies, </w:t>
      </w:r>
      <w:r w:rsidRPr="00A10663">
        <w:rPr>
          <w:rFonts w:eastAsia="Cambria Math" w:cs="Cambria Math"/>
        </w:rPr>
        <w:t>𝑃𝑉𝐵𝑃(𝐵𝐸𝐿</w:t>
      </w:r>
      <w:r w:rsidRPr="00A10663">
        <w:rPr>
          <w:rFonts w:eastAsia="Cambria Math" w:cs="Cambria Math"/>
          <w:vertAlign w:val="subscript"/>
        </w:rPr>
        <w:t>𝑖,𝑐</w:t>
      </w:r>
      <w:r w:rsidRPr="00A10663">
        <w:rPr>
          <w:rFonts w:eastAsia="Cambria Math" w:cs="Cambria Math"/>
        </w:rPr>
        <w:t>)</w:t>
      </w:r>
      <w:r w:rsidRPr="00A10663">
        <w:t xml:space="preserve"> should be determined separately for each currency. Please note that it is expected that all figures are entered in your reporting currency to the Excel template. </w:t>
      </w:r>
    </w:p>
    <w:p w14:paraId="48E2F5B8" w14:textId="58860F59" w:rsidR="00530290" w:rsidRPr="00A10663" w:rsidRDefault="00FD4BFC" w:rsidP="00BD6C7D">
      <w:pPr>
        <w:numPr>
          <w:ilvl w:val="0"/>
          <w:numId w:val="5"/>
        </w:numPr>
        <w:spacing w:after="97"/>
        <w:ind w:right="204" w:hanging="566"/>
      </w:pPr>
      <w:r w:rsidRPr="00A10663">
        <w:t>Please report the PVBP(BEL)</w:t>
      </w:r>
      <w:r w:rsidR="00C8059B" w:rsidRPr="00A10663">
        <w:t xml:space="preserve"> in row </w:t>
      </w:r>
      <w:r w:rsidR="000B0CC0" w:rsidRPr="00A10663">
        <w:t>19</w:t>
      </w:r>
      <w:r w:rsidR="00C8059B" w:rsidRPr="00A10663">
        <w:t xml:space="preserve"> of sheet “Volatility Adjustment”.</w:t>
      </w:r>
    </w:p>
    <w:p w14:paraId="502C2AB8" w14:textId="77777777" w:rsidR="002B3376" w:rsidRPr="00A10663" w:rsidRDefault="000C4AB1" w:rsidP="00BD6C7D">
      <w:pPr>
        <w:spacing w:after="159" w:line="259" w:lineRule="auto"/>
        <w:ind w:left="0" w:firstLine="0"/>
        <w:jc w:val="left"/>
      </w:pPr>
      <w:r w:rsidRPr="00A10663">
        <w:rPr>
          <w:b/>
          <w:i/>
        </w:rPr>
        <w:t xml:space="preserve"> </w:t>
      </w:r>
    </w:p>
    <w:p w14:paraId="496FBCFE" w14:textId="2AF3BA34" w:rsidR="002B3376" w:rsidRPr="00A10663" w:rsidRDefault="000C4AB1" w:rsidP="00BD6C7D">
      <w:pPr>
        <w:pStyle w:val="Heading5"/>
        <w:spacing w:after="128" w:line="259" w:lineRule="auto"/>
        <w:ind w:left="561"/>
        <w:rPr>
          <w:i/>
        </w:rPr>
      </w:pPr>
      <w:r w:rsidRPr="00A10663">
        <w:rPr>
          <w:i/>
        </w:rPr>
        <w:t xml:space="preserve">Calculation of </w:t>
      </w:r>
      <m:oMath>
        <m:r>
          <m:rPr>
            <m:sty m:val="bi"/>
          </m:rPr>
          <w:rPr>
            <w:rFonts w:eastAsia="Cambria Math" w:cs="Cambria Math"/>
          </w:rPr>
          <m:t>PVBP(</m:t>
        </m:r>
        <m:sSubSup>
          <m:sSubSupPr>
            <m:ctrlPr>
              <w:rPr>
                <w:rFonts w:ascii="Cambria Math" w:eastAsia="Cambria Math" w:hAnsi="Cambria Math" w:cs="Cambria Math"/>
                <w:i/>
              </w:rPr>
            </m:ctrlPr>
          </m:sSubSupPr>
          <m:e>
            <m:r>
              <m:rPr>
                <m:sty m:val="bi"/>
              </m:rPr>
              <w:rPr>
                <w:rFonts w:eastAsia="Cambria Math" w:cs="Cambria Math"/>
              </w:rPr>
              <m:t>MV</m:t>
            </m:r>
          </m:e>
          <m:sub>
            <m:r>
              <m:rPr>
                <m:sty m:val="bi"/>
              </m:rPr>
              <w:rPr>
                <w:rFonts w:eastAsia="Cambria Math" w:cs="Cambria Math"/>
              </w:rPr>
              <m:t>i,c</m:t>
            </m:r>
          </m:sub>
          <m:sup>
            <m:r>
              <m:rPr>
                <m:sty m:val="bi"/>
              </m:rPr>
              <w:rPr>
                <w:rFonts w:eastAsia="Cambria Math" w:cs="Cambria Math"/>
              </w:rPr>
              <m:t>FI</m:t>
            </m:r>
          </m:sup>
        </m:sSubSup>
        <m:r>
          <m:rPr>
            <m:sty m:val="bi"/>
          </m:rPr>
          <w:rPr>
            <w:rFonts w:eastAsia="Cambria Math" w:cs="Cambria Math"/>
          </w:rPr>
          <m:t>)</m:t>
        </m:r>
      </m:oMath>
      <w:r w:rsidRPr="00A10663">
        <w:rPr>
          <w:i/>
        </w:rPr>
        <w:t xml:space="preserve"> </w:t>
      </w:r>
    </w:p>
    <w:p w14:paraId="5EB2488B" w14:textId="09979F03" w:rsidR="002B3376" w:rsidRPr="00A10663" w:rsidRDefault="000C4AB1" w:rsidP="00BD6C7D">
      <w:pPr>
        <w:numPr>
          <w:ilvl w:val="0"/>
          <w:numId w:val="5"/>
        </w:numPr>
        <w:spacing w:after="0"/>
        <w:ind w:right="204" w:hanging="566"/>
      </w:pPr>
      <w:r w:rsidRPr="00A10663">
        <w:t xml:space="preserve">The price value of a basis point of the fixed income investments of the undertaking should be calculated based on the difference in their market value against current spreads and when spreads would have increased by the part of  the VA that does not depend on the undertaking specific application ratio, i.e. </w:t>
      </w:r>
      <w:r w:rsidR="000117F2" w:rsidRPr="00A10663">
        <w:rPr>
          <w:rFonts w:eastAsia="Cambria Math" w:cs="Cambria Math"/>
        </w:rPr>
        <w:t>85%</w:t>
      </w:r>
      <w:r w:rsidRPr="00A10663">
        <w:rPr>
          <w:rFonts w:eastAsia="Cambria Math" w:cs="Cambria Math"/>
          <w:vertAlign w:val="subscript"/>
        </w:rPr>
        <w:t xml:space="preserve"> </w:t>
      </w:r>
      <w:r w:rsidRPr="00A10663">
        <w:rPr>
          <w:rFonts w:eastAsia="Cambria Math" w:cs="Cambria Math"/>
        </w:rPr>
        <w:t xml:space="preserve">⋅ </w:t>
      </w:r>
      <m:oMath>
        <m:r>
          <w:rPr>
            <w:rFonts w:eastAsia="Cambria Math" w:cs="Cambria Math"/>
          </w:rPr>
          <m:t>RC_</m:t>
        </m:r>
        <m:sSub>
          <m:sSubPr>
            <m:ctrlPr>
              <w:rPr>
                <w:rFonts w:ascii="Cambria Math" w:eastAsia="Cambria Math" w:hAnsi="Cambria Math" w:cs="Cambria Math"/>
                <w:i/>
              </w:rPr>
            </m:ctrlPr>
          </m:sSubPr>
          <m:e>
            <m:r>
              <w:rPr>
                <w:rFonts w:eastAsia="Cambria Math" w:cs="Cambria Math"/>
              </w:rPr>
              <m:t>S</m:t>
            </m:r>
          </m:e>
          <m:sub>
            <m:r>
              <w:rPr>
                <w:rFonts w:eastAsia="Cambria Math" w:cs="Cambria Math"/>
              </w:rPr>
              <m:t>c</m:t>
            </m:r>
          </m:sub>
        </m:sSub>
      </m:oMath>
      <w:r w:rsidRPr="00A10663">
        <w:rPr>
          <w:rFonts w:eastAsia="Cambria Math" w:cs="Cambria Math"/>
        </w:rPr>
        <w:t xml:space="preserve"> </w:t>
      </w:r>
      <w:r w:rsidRPr="00A10663">
        <w:t xml:space="preserve"> : </w:t>
      </w:r>
    </w:p>
    <w:p w14:paraId="284DF563" w14:textId="77777777" w:rsidR="00E9502A" w:rsidRPr="00A10663" w:rsidRDefault="00E9502A" w:rsidP="00BD6C7D">
      <w:pPr>
        <w:spacing w:after="0"/>
        <w:ind w:left="566" w:right="204" w:firstLine="0"/>
      </w:pPr>
    </w:p>
    <w:p w14:paraId="2BB7168D" w14:textId="3033F896" w:rsidR="00E9502A" w:rsidRPr="00A10663" w:rsidRDefault="000117F2" w:rsidP="00BD6C7D">
      <w:pPr>
        <w:spacing w:after="0"/>
        <w:ind w:left="566" w:right="204" w:firstLine="0"/>
        <w:jc w:val="center"/>
      </w:pPr>
      <m:oMathPara>
        <m:oMath>
          <m:r>
            <m:rPr>
              <m:sty m:val="p"/>
            </m:rPr>
            <w:rPr>
              <w:rFonts w:eastAsia="Cambria Math" w:cs="Cambria Math"/>
            </w:rPr>
            <m:t>PVBP(</m:t>
          </m:r>
          <m:sSubSup>
            <m:sSubSupPr>
              <m:ctrlPr>
                <w:rPr>
                  <w:rFonts w:ascii="Cambria Math" w:eastAsia="Cambria Math" w:hAnsi="Cambria Math" w:cs="Cambria Math"/>
                  <w:i/>
                </w:rPr>
              </m:ctrlPr>
            </m:sSubSupPr>
            <m:e>
              <m:r>
                <w:rPr>
                  <w:rFonts w:eastAsia="Cambria Math" w:cs="Cambria Math"/>
                </w:rPr>
                <m:t>MV</m:t>
              </m:r>
            </m:e>
            <m:sub>
              <m:r>
                <w:rPr>
                  <w:rFonts w:eastAsia="Cambria Math" w:cs="Cambria Math"/>
                </w:rPr>
                <m:t>i,c</m:t>
              </m:r>
            </m:sub>
            <m:sup>
              <m:r>
                <w:rPr>
                  <w:rFonts w:eastAsia="Cambria Math" w:cs="Cambria Math"/>
                </w:rPr>
                <m:t>FI</m:t>
              </m:r>
            </m:sup>
          </m:sSubSup>
          <m:r>
            <m:rPr>
              <m:sty m:val="p"/>
            </m:rPr>
            <w:rPr>
              <w:rFonts w:eastAsia="Cambria Math" w:cs="Cambria Math"/>
            </w:rPr>
            <m:t>)=</m:t>
          </m:r>
          <m:f>
            <m:fPr>
              <m:ctrlPr>
                <w:rPr>
                  <w:rFonts w:ascii="Cambria Math" w:eastAsia="Cambria Math" w:hAnsi="Cambria Math" w:cs="Cambria Math"/>
                </w:rPr>
              </m:ctrlPr>
            </m:fPr>
            <m:num>
              <m:sSubSup>
                <m:sSubSupPr>
                  <m:ctrlPr>
                    <w:rPr>
                      <w:rFonts w:ascii="Cambria Math" w:eastAsia="Cambria Math" w:hAnsi="Cambria Math" w:cs="Cambria Math"/>
                      <w:i/>
                    </w:rPr>
                  </m:ctrlPr>
                </m:sSubSupPr>
                <m:e>
                  <m:r>
                    <w:rPr>
                      <w:rFonts w:eastAsia="Cambria Math" w:cs="Cambria Math"/>
                    </w:rPr>
                    <m:t>MV</m:t>
                  </m:r>
                </m:e>
                <m:sub>
                  <m:r>
                    <w:rPr>
                      <w:rFonts w:eastAsia="Cambria Math" w:cs="Cambria Math"/>
                    </w:rPr>
                    <m:t>i,c</m:t>
                  </m:r>
                </m:sub>
                <m:sup>
                  <m:r>
                    <w:rPr>
                      <w:rFonts w:eastAsia="Cambria Math" w:cs="Cambria Math"/>
                    </w:rPr>
                    <m:t>FI</m:t>
                  </m:r>
                </m:sup>
              </m:sSubSup>
              <m:d>
                <m:dPr>
                  <m:ctrlPr>
                    <w:rPr>
                      <w:rFonts w:ascii="Cambria Math" w:eastAsia="Cambria Math" w:hAnsi="Cambria Math" w:cs="Cambria Math"/>
                      <w:i/>
                    </w:rPr>
                  </m:ctrlPr>
                </m:dPr>
                <m:e>
                  <m:r>
                    <w:rPr>
                      <w:rFonts w:eastAsia="Cambria Math" w:cs="Cambria Math"/>
                    </w:rPr>
                    <m:t>CS</m:t>
                  </m:r>
                </m:e>
              </m:d>
              <m:r>
                <w:rPr>
                  <w:rFonts w:eastAsia="Cambria Math" w:cs="Cambria Math"/>
                </w:rPr>
                <m:t>-</m:t>
              </m:r>
              <m:sSubSup>
                <m:sSubSupPr>
                  <m:ctrlPr>
                    <w:rPr>
                      <w:rFonts w:ascii="Cambria Math" w:eastAsia="Cambria Math" w:hAnsi="Cambria Math" w:cs="Cambria Math"/>
                      <w:i/>
                    </w:rPr>
                  </m:ctrlPr>
                </m:sSubSupPr>
                <m:e>
                  <m:r>
                    <w:rPr>
                      <w:rFonts w:eastAsia="Cambria Math" w:cs="Cambria Math"/>
                    </w:rPr>
                    <m:t>MV</m:t>
                  </m:r>
                </m:e>
                <m:sub>
                  <m:r>
                    <w:rPr>
                      <w:rFonts w:eastAsia="Cambria Math" w:cs="Cambria Math"/>
                    </w:rPr>
                    <m:t>i,c</m:t>
                  </m:r>
                </m:sub>
                <m:sup>
                  <m:r>
                    <w:rPr>
                      <w:rFonts w:eastAsia="Cambria Math" w:cs="Cambria Math"/>
                    </w:rPr>
                    <m:t>FI</m:t>
                  </m:r>
                </m:sup>
              </m:sSubSup>
              <m:r>
                <w:rPr>
                  <w:rFonts w:eastAsia="Cambria Math" w:cs="Cambria Math"/>
                </w:rPr>
                <m:t>(CS+85%</m:t>
              </m:r>
              <m:r>
                <m:rPr>
                  <m:sty m:val="p"/>
                </m:rPr>
                <w:rPr>
                  <w:rFonts w:eastAsia="Cambria Math" w:cs="Cambria Math"/>
                </w:rPr>
                <m:t>⋅</m:t>
              </m:r>
              <m:r>
                <w:rPr>
                  <w:rFonts w:eastAsia="Cambria Math" w:cs="Cambria Math"/>
                </w:rPr>
                <m:t>RC_</m:t>
              </m:r>
              <m:sSub>
                <m:sSubPr>
                  <m:ctrlPr>
                    <w:rPr>
                      <w:rFonts w:ascii="Cambria Math" w:eastAsia="Cambria Math" w:hAnsi="Cambria Math" w:cs="Cambria Math"/>
                      <w:i/>
                    </w:rPr>
                  </m:ctrlPr>
                </m:sSubPr>
                <m:e>
                  <m:r>
                    <w:rPr>
                      <w:rFonts w:eastAsia="Cambria Math" w:cs="Cambria Math"/>
                    </w:rPr>
                    <m:t>S</m:t>
                  </m:r>
                </m:e>
                <m:sub>
                  <m:r>
                    <w:rPr>
                      <w:rFonts w:eastAsia="Cambria Math" w:cs="Cambria Math"/>
                    </w:rPr>
                    <m:t>c</m:t>
                  </m:r>
                </m:sub>
              </m:sSub>
              <m:r>
                <w:rPr>
                  <w:rFonts w:eastAsia="Cambria Math" w:cs="Cambria Math"/>
                </w:rPr>
                <m:t>)</m:t>
              </m:r>
            </m:num>
            <m:den>
              <m:r>
                <w:rPr>
                  <w:rFonts w:eastAsia="Cambria Math" w:cs="Cambria Math"/>
                </w:rPr>
                <m:t>85%</m:t>
              </m:r>
              <m:r>
                <m:rPr>
                  <m:sty m:val="p"/>
                </m:rPr>
                <w:rPr>
                  <w:rFonts w:eastAsia="Cambria Math" w:cs="Cambria Math"/>
                </w:rPr>
                <m:t>⋅</m:t>
              </m:r>
              <m:r>
                <w:rPr>
                  <w:rFonts w:eastAsia="Cambria Math" w:cs="Cambria Math"/>
                </w:rPr>
                <m:t>RC_</m:t>
              </m:r>
              <m:sSub>
                <m:sSubPr>
                  <m:ctrlPr>
                    <w:rPr>
                      <w:rFonts w:ascii="Cambria Math" w:eastAsia="Cambria Math" w:hAnsi="Cambria Math" w:cs="Cambria Math"/>
                      <w:i/>
                    </w:rPr>
                  </m:ctrlPr>
                </m:sSubPr>
                <m:e>
                  <m:r>
                    <w:rPr>
                      <w:rFonts w:eastAsia="Cambria Math" w:cs="Cambria Math"/>
                    </w:rPr>
                    <m:t>S</m:t>
                  </m:r>
                </m:e>
                <m:sub>
                  <m:r>
                    <w:rPr>
                      <w:rFonts w:eastAsia="Cambria Math" w:cs="Cambria Math"/>
                    </w:rPr>
                    <m:t>c</m:t>
                  </m:r>
                </m:sub>
              </m:sSub>
            </m:den>
          </m:f>
        </m:oMath>
      </m:oMathPara>
    </w:p>
    <w:p w14:paraId="1547023A" w14:textId="77777777" w:rsidR="00E9502A" w:rsidRPr="00A10663" w:rsidRDefault="00E9502A" w:rsidP="00BD6C7D">
      <w:pPr>
        <w:spacing w:after="0"/>
        <w:ind w:right="204"/>
      </w:pPr>
    </w:p>
    <w:p w14:paraId="44380B46" w14:textId="58696110" w:rsidR="00E9502A" w:rsidRPr="00A10663" w:rsidRDefault="000C4AB1" w:rsidP="00BD6C7D">
      <w:pPr>
        <w:spacing w:after="259"/>
        <w:ind w:left="566" w:right="204" w:firstLine="0"/>
      </w:pPr>
      <w:r w:rsidRPr="00A10663">
        <w:t xml:space="preserve">where </w:t>
      </w:r>
      <w:r w:rsidRPr="00A10663">
        <w:rPr>
          <w:rFonts w:eastAsia="Cambria Math" w:cs="Cambria Math"/>
        </w:rPr>
        <w:t>𝐶𝑆</w:t>
      </w:r>
      <w:r w:rsidRPr="00A10663">
        <w:t xml:space="preserve"> denotes the current level of spreads. </w:t>
      </w:r>
    </w:p>
    <w:p w14:paraId="0B2B0420" w14:textId="42FB944C" w:rsidR="002B3376" w:rsidRPr="00A10663" w:rsidRDefault="000C4AB1" w:rsidP="00BD6C7D">
      <w:pPr>
        <w:numPr>
          <w:ilvl w:val="0"/>
          <w:numId w:val="5"/>
        </w:numPr>
        <w:spacing w:after="226"/>
        <w:ind w:right="204" w:hanging="566"/>
      </w:pPr>
      <w:r w:rsidRPr="00A10663">
        <w:t xml:space="preserve">The </w:t>
      </w:r>
      <w:r w:rsidR="00D9776E" w:rsidRPr="00A10663">
        <w:t>credit spread sensitivity ratio</w:t>
      </w:r>
      <w:r w:rsidRPr="00A10663">
        <w:t xml:space="preserve"> is derived as a result.  </w:t>
      </w:r>
    </w:p>
    <w:p w14:paraId="2C78C8FA" w14:textId="7AB54FF6" w:rsidR="002B3376" w:rsidRPr="00A10663" w:rsidRDefault="002B3376" w:rsidP="00BD6C7D">
      <w:pPr>
        <w:spacing w:after="99" w:line="259" w:lineRule="auto"/>
        <w:ind w:left="566" w:firstLine="0"/>
        <w:jc w:val="left"/>
      </w:pPr>
    </w:p>
    <w:p w14:paraId="30C2EBC6" w14:textId="389C68FC" w:rsidR="002B3376" w:rsidRPr="00A10663" w:rsidRDefault="000C4AB1" w:rsidP="00BD6C7D">
      <w:pPr>
        <w:pStyle w:val="Heading5"/>
        <w:spacing w:after="128" w:line="259" w:lineRule="auto"/>
        <w:ind w:left="561"/>
      </w:pPr>
      <w:r w:rsidRPr="00A10663">
        <w:rPr>
          <w:i/>
        </w:rPr>
        <w:t xml:space="preserve">Calculation of the VA </w:t>
      </w:r>
    </w:p>
    <w:p w14:paraId="40DBD350" w14:textId="02C48694" w:rsidR="002B3376" w:rsidRPr="00A10663" w:rsidRDefault="000C4AB1" w:rsidP="00BD6C7D">
      <w:pPr>
        <w:numPr>
          <w:ilvl w:val="0"/>
          <w:numId w:val="5"/>
        </w:numPr>
        <w:spacing w:after="250"/>
        <w:ind w:right="204" w:hanging="566"/>
      </w:pPr>
      <w:r w:rsidRPr="00A10663">
        <w:t xml:space="preserve">The </w:t>
      </w:r>
      <w:r w:rsidR="006F308C" w:rsidRPr="00A10663">
        <w:t>currency VA</w:t>
      </w:r>
      <w:r w:rsidRPr="00A10663">
        <w:t xml:space="preserve"> </w:t>
      </w:r>
      <w:r w:rsidR="00023E4D" w:rsidRPr="00A10663">
        <w:t>should be</w:t>
      </w:r>
      <w:r w:rsidRPr="00A10663">
        <w:t xml:space="preserve"> given in row </w:t>
      </w:r>
      <w:r w:rsidR="00E9643A" w:rsidRPr="00A10663">
        <w:t>23</w:t>
      </w:r>
      <w:r w:rsidR="001E2F88" w:rsidRPr="00A10663">
        <w:t xml:space="preserve"> of the sheet “Volatility Adjustment”</w:t>
      </w:r>
      <w:r w:rsidR="006F308C" w:rsidRPr="00A10663">
        <w:t xml:space="preserve"> where it</w:t>
      </w:r>
      <w:r w:rsidR="008A4504" w:rsidRPr="00A10663">
        <w:t xml:space="preserve"> </w:t>
      </w:r>
      <w:r w:rsidR="00137AE2" w:rsidRPr="00A10663">
        <w:t xml:space="preserve">is </w:t>
      </w:r>
      <w:r w:rsidR="008A4504" w:rsidRPr="00A10663">
        <w:t>named “Permanent VA”</w:t>
      </w:r>
      <w:r w:rsidRPr="00A10663">
        <w:t xml:space="preserve">. It is calculated as </w:t>
      </w:r>
    </w:p>
    <w:p w14:paraId="4C46695F" w14:textId="075B6C1E" w:rsidR="002B3376" w:rsidRPr="00A10663" w:rsidRDefault="000117F2" w:rsidP="00BD6C7D">
      <w:pPr>
        <w:spacing w:after="118" w:line="259" w:lineRule="auto"/>
        <w:ind w:left="1418" w:right="1632" w:hanging="10"/>
        <w:jc w:val="center"/>
      </w:pPr>
      <m:oMath>
        <m:r>
          <w:rPr>
            <w:rFonts w:eastAsia="Cambria Math" w:cs="Cambria Math"/>
          </w:rPr>
          <m:t>V</m:t>
        </m:r>
        <m:sSub>
          <m:sSubPr>
            <m:ctrlPr>
              <w:rPr>
                <w:rFonts w:ascii="Cambria Math" w:eastAsia="Cambria Math" w:hAnsi="Cambria Math" w:cs="Cambria Math"/>
                <w:i/>
              </w:rPr>
            </m:ctrlPr>
          </m:sSubPr>
          <m:e>
            <m:r>
              <w:rPr>
                <w:rFonts w:eastAsia="Cambria Math" w:cs="Cambria Math"/>
              </w:rPr>
              <m:t>A</m:t>
            </m:r>
          </m:e>
          <m:sub>
            <m:r>
              <w:rPr>
                <w:rFonts w:eastAsia="Cambria Math" w:cs="Cambria Math"/>
              </w:rPr>
              <m:t>c</m:t>
            </m:r>
          </m:sub>
        </m:sSub>
        <m:r>
          <w:rPr>
            <w:rFonts w:eastAsia="Cambria Math" w:cs="Cambria Math"/>
          </w:rPr>
          <m:t>=85%</m:t>
        </m:r>
        <m:r>
          <m:rPr>
            <m:sty m:val="p"/>
          </m:rPr>
          <w:rPr>
            <w:rFonts w:eastAsia="Cambria Math" w:cs="Cambria Math"/>
          </w:rPr>
          <m:t>⋅</m:t>
        </m:r>
        <m:sSub>
          <m:sSubPr>
            <m:ctrlPr>
              <w:rPr>
                <w:rFonts w:ascii="Cambria Math" w:eastAsia="Cambria Math" w:hAnsi="Cambria Math" w:cs="Cambria Math"/>
              </w:rPr>
            </m:ctrlPr>
          </m:sSubPr>
          <m:e>
            <m:r>
              <m:rPr>
                <m:sty m:val="p"/>
              </m:rPr>
              <w:rPr>
                <w:rFonts w:eastAsia="Cambria Math" w:cs="Cambria Math"/>
              </w:rPr>
              <m:t>CSSR</m:t>
            </m:r>
          </m:e>
          <m:sub>
            <m:r>
              <m:rPr>
                <m:sty m:val="p"/>
              </m:rPr>
              <w:rPr>
                <w:rFonts w:eastAsia="Cambria Math" w:cs="Cambria Math"/>
              </w:rPr>
              <m:t>c</m:t>
            </m:r>
          </m:sub>
        </m:sSub>
        <m:r>
          <m:rPr>
            <m:sty m:val="p"/>
          </m:rPr>
          <w:rPr>
            <w:rFonts w:eastAsia="Cambria Math" w:cs="Cambria Math"/>
          </w:rPr>
          <m:t>⋅RC_</m:t>
        </m:r>
        <m:sSub>
          <m:sSubPr>
            <m:ctrlPr>
              <w:rPr>
                <w:rFonts w:ascii="Cambria Math" w:eastAsia="Cambria Math" w:hAnsi="Cambria Math" w:cs="Cambria Math"/>
              </w:rPr>
            </m:ctrlPr>
          </m:sSubPr>
          <m:e>
            <m:r>
              <m:rPr>
                <m:sty m:val="p"/>
              </m:rPr>
              <w:rPr>
                <w:rFonts w:eastAsia="Cambria Math" w:cs="Cambria Math"/>
              </w:rPr>
              <m:t>S</m:t>
            </m:r>
          </m:e>
          <m:sub>
            <m:r>
              <m:rPr>
                <m:sty m:val="p"/>
              </m:rPr>
              <w:rPr>
                <w:rFonts w:eastAsia="Cambria Math" w:cs="Cambria Math"/>
              </w:rPr>
              <m:t>c</m:t>
            </m:r>
          </m:sub>
        </m:sSub>
      </m:oMath>
      <w:r w:rsidR="000C4AB1" w:rsidRPr="00A10663">
        <w:t xml:space="preserve"> </w:t>
      </w:r>
    </w:p>
    <w:p w14:paraId="44453C06" w14:textId="77777777" w:rsidR="002B3376" w:rsidRPr="00A10663" w:rsidRDefault="000C4AB1" w:rsidP="00BD6C7D">
      <w:pPr>
        <w:ind w:left="566" w:right="204" w:firstLine="0"/>
      </w:pPr>
      <w:r w:rsidRPr="00A10663">
        <w:t xml:space="preserve">where  </w:t>
      </w:r>
    </w:p>
    <w:p w14:paraId="77A1518D" w14:textId="0546BCDE" w:rsidR="002B3376" w:rsidRPr="00A10663" w:rsidRDefault="000C4AB1" w:rsidP="00BD6C7D">
      <w:pPr>
        <w:numPr>
          <w:ilvl w:val="1"/>
          <w:numId w:val="15"/>
        </w:numPr>
        <w:ind w:right="204" w:hanging="360"/>
      </w:pPr>
      <m:oMath>
        <m:r>
          <w:rPr>
            <w:rFonts w:eastAsia="Cambria Math" w:cs="Cambria Math"/>
            <w:vertAlign w:val="subscript"/>
          </w:rPr>
          <m:t>CSS</m:t>
        </m:r>
        <m:sSub>
          <m:sSubPr>
            <m:ctrlPr>
              <w:rPr>
                <w:rFonts w:ascii="Cambria Math" w:eastAsia="Cambria Math" w:hAnsi="Cambria Math" w:cs="Cambria Math"/>
                <w:i/>
                <w:vertAlign w:val="subscript"/>
              </w:rPr>
            </m:ctrlPr>
          </m:sSubPr>
          <m:e>
            <m:r>
              <w:rPr>
                <w:rFonts w:eastAsia="Cambria Math" w:cs="Cambria Math"/>
                <w:vertAlign w:val="subscript"/>
              </w:rPr>
              <m:t>R</m:t>
            </m:r>
          </m:e>
          <m:sub>
            <m:r>
              <w:rPr>
                <w:rFonts w:eastAsia="Cambria Math" w:cs="Cambria Math"/>
                <w:vertAlign w:val="subscript"/>
              </w:rPr>
              <m:t>c</m:t>
            </m:r>
          </m:sub>
        </m:sSub>
        <m:r>
          <w:rPr>
            <w:rFonts w:eastAsia="Cambria Math" w:cs="Cambria Math"/>
            <w:vertAlign w:val="subscript"/>
          </w:rPr>
          <m:t xml:space="preserve"> </m:t>
        </m:r>
      </m:oMath>
      <w:r w:rsidR="00605D7F" w:rsidRPr="00A10663">
        <w:t>denotes the credit spread sensitivity ratio</w:t>
      </w:r>
      <w:r w:rsidRPr="00A10663">
        <w:t xml:space="preserve"> </w:t>
      </w:r>
      <w:r w:rsidR="008A11EF" w:rsidRPr="00A10663">
        <w:t xml:space="preserve">for currency </w:t>
      </w:r>
      <w:r w:rsidR="008A11EF" w:rsidRPr="00A10663">
        <w:rPr>
          <w:i/>
          <w:iCs/>
        </w:rPr>
        <w:t>c</w:t>
      </w:r>
      <w:r w:rsidR="00C06481" w:rsidRPr="00A10663">
        <w:rPr>
          <w:i/>
          <w:iCs/>
        </w:rPr>
        <w:t>; and</w:t>
      </w:r>
      <w:r w:rsidRPr="00A10663">
        <w:t xml:space="preserve"> </w:t>
      </w:r>
    </w:p>
    <w:p w14:paraId="25D1395C" w14:textId="6BBA8C98" w:rsidR="002B3376" w:rsidRPr="00A10663" w:rsidRDefault="000C4AB1" w:rsidP="00BD6C7D">
      <w:pPr>
        <w:numPr>
          <w:ilvl w:val="1"/>
          <w:numId w:val="15"/>
        </w:numPr>
        <w:spacing w:after="227"/>
        <w:ind w:right="204" w:hanging="360"/>
      </w:pPr>
      <w:r w:rsidRPr="00A10663">
        <w:rPr>
          <w:rFonts w:eastAsia="Cambria Math" w:cs="Cambria Math"/>
        </w:rPr>
        <w:lastRenderedPageBreak/>
        <w:t>𝑅𝐶_𝑆</w:t>
      </w:r>
      <w:r w:rsidRPr="00A10663">
        <w:rPr>
          <w:rFonts w:eastAsia="Cambria Math" w:cs="Cambria Math"/>
          <w:vertAlign w:val="subscript"/>
        </w:rPr>
        <w:t>𝑐</w:t>
      </w:r>
      <w:r w:rsidRPr="00A10663">
        <w:t xml:space="preserve"> denotes the </w:t>
      </w:r>
      <w:r w:rsidR="005B510E" w:rsidRPr="00A10663">
        <w:t xml:space="preserve">scaled </w:t>
      </w:r>
      <w:r w:rsidRPr="00A10663">
        <w:t xml:space="preserve">risk-corrected spread of the representative portfolio for currency </w:t>
      </w:r>
      <w:r w:rsidRPr="00A10663">
        <w:rPr>
          <w:i/>
        </w:rPr>
        <w:t>c</w:t>
      </w:r>
      <w:r w:rsidRPr="00A10663">
        <w:t xml:space="preserve"> </w:t>
      </w:r>
    </w:p>
    <w:p w14:paraId="66923664" w14:textId="6B107BC6" w:rsidR="002B3376" w:rsidRPr="00A10663" w:rsidRDefault="001A4921" w:rsidP="00BD6C7D">
      <w:pPr>
        <w:spacing w:after="263"/>
        <w:ind w:right="204" w:hanging="3"/>
      </w:pPr>
      <w:r w:rsidRPr="00A10663">
        <w:t xml:space="preserve">As at year-end 2024, the macroeconomic VA </w:t>
      </w:r>
      <w:r w:rsidR="005B510E" w:rsidRPr="00A10663">
        <w:t>is</w:t>
      </w:r>
      <w:r w:rsidRPr="00A10663">
        <w:t xml:space="preserve"> not triggered for Dutch insurers. The following </w:t>
      </w:r>
      <w:r w:rsidR="00D929F3" w:rsidRPr="00A10663">
        <w:t xml:space="preserve">text </w:t>
      </w:r>
      <w:r w:rsidRPr="00A10663">
        <w:t xml:space="preserve">only describes the </w:t>
      </w:r>
      <w:r w:rsidR="00782B7A" w:rsidRPr="00A10663">
        <w:t xml:space="preserve">currency </w:t>
      </w:r>
      <w:r w:rsidRPr="00A10663">
        <w:t xml:space="preserve">VA. </w:t>
      </w:r>
      <w:r w:rsidR="000C4AB1" w:rsidRPr="00A10663">
        <w:t xml:space="preserve">The VA therefore coincides with the </w:t>
      </w:r>
      <w:r w:rsidR="008A4504" w:rsidRPr="00A10663">
        <w:t>currency</w:t>
      </w:r>
      <w:r w:rsidR="000C4AB1" w:rsidRPr="00A10663">
        <w:t xml:space="preserve"> VA</w:t>
      </w:r>
      <w:r w:rsidR="00BB3568" w:rsidRPr="00A10663">
        <w:t xml:space="preserve"> (</w:t>
      </w:r>
      <w:r w:rsidR="00782B7A" w:rsidRPr="00A10663">
        <w:t>Note that this i</w:t>
      </w:r>
      <w:r w:rsidR="00F14C07" w:rsidRPr="00A10663">
        <w:t xml:space="preserve">s the equivalent of the </w:t>
      </w:r>
      <w:r w:rsidR="00BB3568" w:rsidRPr="00A10663">
        <w:t xml:space="preserve">permanent VA in the Excel </w:t>
      </w:r>
      <w:r w:rsidR="00F14C07" w:rsidRPr="00A10663">
        <w:t>Reporting T</w:t>
      </w:r>
      <w:r w:rsidR="00BB3568" w:rsidRPr="00A10663">
        <w:t>emplate)</w:t>
      </w:r>
      <w:r w:rsidR="000C4AB1" w:rsidRPr="00A10663">
        <w:t xml:space="preserve">. </w:t>
      </w:r>
    </w:p>
    <w:p w14:paraId="123D8E78" w14:textId="76B50774" w:rsidR="002B3376" w:rsidRPr="00A10663" w:rsidRDefault="000C4AB1" w:rsidP="00BD6C7D">
      <w:pPr>
        <w:spacing w:after="266" w:line="250" w:lineRule="auto"/>
        <w:ind w:left="566" w:right="196" w:firstLine="0"/>
      </w:pPr>
      <w:r w:rsidRPr="00A10663">
        <w:rPr>
          <w:u w:val="single" w:color="000000"/>
        </w:rPr>
        <w:t xml:space="preserve">Background on the derivation of </w:t>
      </w:r>
      <w:r w:rsidR="005E2A3F" w:rsidRPr="00A10663">
        <w:rPr>
          <w:u w:val="single" w:color="000000"/>
        </w:rPr>
        <w:t>the scaled</w:t>
      </w:r>
      <w:r w:rsidRPr="00A10663">
        <w:rPr>
          <w:u w:val="single" w:color="000000"/>
        </w:rPr>
        <w:t xml:space="preserve"> risk-corrected spreads</w:t>
      </w:r>
    </w:p>
    <w:p w14:paraId="5E8F59E6" w14:textId="77777777" w:rsidR="002B3376" w:rsidRPr="00A10663" w:rsidRDefault="000C4AB1" w:rsidP="00BD6C7D">
      <w:pPr>
        <w:numPr>
          <w:ilvl w:val="0"/>
          <w:numId w:val="5"/>
        </w:numPr>
        <w:spacing w:after="213"/>
        <w:ind w:right="204" w:hanging="566"/>
      </w:pPr>
      <w:bookmarkStart w:id="11" w:name="_Ref182249198"/>
      <w:r w:rsidRPr="00A10663">
        <w:t xml:space="preserve">The scaling-factor </w:t>
      </w:r>
      <w:r w:rsidRPr="00A10663">
        <w:rPr>
          <w:rFonts w:eastAsia="Cambria Math" w:cs="Cambria Math"/>
        </w:rPr>
        <w:t>𝑆𝑐𝑎𝑙𝑒</w:t>
      </w:r>
      <w:r w:rsidRPr="00A10663">
        <w:rPr>
          <w:rFonts w:eastAsia="Cambria Math" w:cs="Cambria Math"/>
          <w:vertAlign w:val="subscript"/>
        </w:rPr>
        <w:t>𝑐</w:t>
      </w:r>
      <w:r w:rsidRPr="00A10663">
        <w:t xml:space="preserve"> is determined as:</w:t>
      </w:r>
      <w:bookmarkEnd w:id="11"/>
      <w:r w:rsidRPr="00A10663">
        <w:t xml:space="preserve"> </w:t>
      </w:r>
    </w:p>
    <w:p w14:paraId="63CB3675" w14:textId="2FFAB8BB" w:rsidR="00A72901" w:rsidRPr="00A10663" w:rsidRDefault="0015487B" w:rsidP="00BD6C7D">
      <w:pPr>
        <w:spacing w:after="0" w:line="259" w:lineRule="auto"/>
        <w:ind w:right="773"/>
        <w:jc w:val="center"/>
      </w:pPr>
      <m:oMathPara>
        <m:oMath>
          <m:r>
            <w:rPr>
              <w:rFonts w:eastAsia="Cambria Math" w:cs="Cambria Math"/>
            </w:rPr>
            <m:t>Scal</m:t>
          </m:r>
          <m:sSub>
            <m:sSubPr>
              <m:ctrlPr>
                <w:rPr>
                  <w:rFonts w:ascii="Cambria Math" w:eastAsia="Cambria Math" w:hAnsi="Cambria Math" w:cs="Cambria Math"/>
                  <w:i/>
                </w:rPr>
              </m:ctrlPr>
            </m:sSubPr>
            <m:e>
              <m:r>
                <w:rPr>
                  <w:rFonts w:eastAsia="Cambria Math" w:cs="Cambria Math"/>
                </w:rPr>
                <m:t>e</m:t>
              </m:r>
            </m:e>
            <m:sub>
              <m:r>
                <w:rPr>
                  <w:rFonts w:eastAsia="Cambria Math" w:cs="Cambria Math"/>
                </w:rPr>
                <m:t>c</m:t>
              </m:r>
            </m:sub>
          </m:sSub>
          <m:r>
            <w:rPr>
              <w:rFonts w:eastAsia="Cambria Math" w:cs="Cambria Math"/>
            </w:rPr>
            <m:t>=</m:t>
          </m:r>
          <m:f>
            <m:fPr>
              <m:ctrlPr>
                <w:rPr>
                  <w:rFonts w:ascii="Cambria Math" w:eastAsia="Cambria Math" w:hAnsi="Cambria Math" w:cs="Cambria Math"/>
                  <w:i/>
                </w:rPr>
              </m:ctrlPr>
            </m:fPr>
            <m:num>
              <m:r>
                <w:rPr>
                  <w:rFonts w:eastAsia="Cambria Math" w:cs="Cambria Math"/>
                </w:rPr>
                <m:t>1</m:t>
              </m:r>
            </m:num>
            <m:den>
              <m:sSub>
                <m:sSubPr>
                  <m:ctrlPr>
                    <w:rPr>
                      <w:rFonts w:ascii="Cambria Math" w:eastAsia="Cambria Math" w:hAnsi="Cambria Math" w:cs="Cambria Math"/>
                      <w:i/>
                    </w:rPr>
                  </m:ctrlPr>
                </m:sSubPr>
                <m:e>
                  <m:r>
                    <w:rPr>
                      <w:rFonts w:eastAsia="Cambria Math" w:cs="Cambria Math"/>
                    </w:rPr>
                    <m:t>w</m:t>
                  </m:r>
                </m:e>
                <m:sub>
                  <m:r>
                    <w:rPr>
                      <w:rFonts w:eastAsia="Cambria Math" w:cs="Cambria Math"/>
                    </w:rPr>
                    <m:t>gov,c</m:t>
                  </m:r>
                </m:sub>
              </m:sSub>
              <m:r>
                <w:rPr>
                  <w:rFonts w:eastAsia="Cambria Math" w:cs="Cambria Math"/>
                </w:rPr>
                <m:t>+</m:t>
              </m:r>
              <m:sSub>
                <m:sSubPr>
                  <m:ctrlPr>
                    <w:rPr>
                      <w:rFonts w:ascii="Cambria Math" w:eastAsia="Cambria Math" w:hAnsi="Cambria Math" w:cs="Cambria Math"/>
                      <w:i/>
                    </w:rPr>
                  </m:ctrlPr>
                </m:sSubPr>
                <m:e>
                  <m:r>
                    <w:rPr>
                      <w:rFonts w:eastAsia="Cambria Math" w:cs="Cambria Math"/>
                    </w:rPr>
                    <m:t>w</m:t>
                  </m:r>
                </m:e>
                <m:sub>
                  <m:r>
                    <w:rPr>
                      <w:rFonts w:eastAsia="Cambria Math" w:cs="Cambria Math"/>
                    </w:rPr>
                    <m:t>corp,c</m:t>
                  </m:r>
                </m:sub>
              </m:sSub>
            </m:den>
          </m:f>
        </m:oMath>
      </m:oMathPara>
    </w:p>
    <w:p w14:paraId="05FFD121" w14:textId="77777777" w:rsidR="002B3376" w:rsidRPr="00A10663" w:rsidRDefault="000C4AB1" w:rsidP="00BD6C7D">
      <w:pPr>
        <w:spacing w:after="167"/>
        <w:ind w:left="566" w:right="204" w:firstLine="0"/>
      </w:pPr>
      <w:r w:rsidRPr="00A10663">
        <w:t xml:space="preserve">where </w:t>
      </w:r>
    </w:p>
    <w:p w14:paraId="4206867A" w14:textId="77777777" w:rsidR="002B3376" w:rsidRPr="00A10663" w:rsidRDefault="000C4AB1" w:rsidP="00BD6C7D">
      <w:pPr>
        <w:numPr>
          <w:ilvl w:val="1"/>
          <w:numId w:val="15"/>
        </w:numPr>
        <w:ind w:right="204" w:hanging="360"/>
      </w:pPr>
      <w:r w:rsidRPr="00A10663">
        <w:rPr>
          <w:rFonts w:eastAsia="Cambria Math" w:cs="Cambria Math"/>
        </w:rPr>
        <w:t>𝑤</w:t>
      </w:r>
      <w:r w:rsidRPr="00A10663">
        <w:rPr>
          <w:rFonts w:eastAsia="Cambria Math" w:cs="Cambria Math"/>
          <w:vertAlign w:val="subscript"/>
        </w:rPr>
        <w:t xml:space="preserve">𝑔𝑜𝑣,𝑐 </w:t>
      </w:r>
      <w:r w:rsidRPr="00A10663">
        <w:t xml:space="preserve"> denotes the weight of the government bond portfolio in the representative portfolio for currency </w:t>
      </w:r>
      <w:r w:rsidRPr="00A10663">
        <w:rPr>
          <w:i/>
        </w:rPr>
        <w:t>c</w:t>
      </w:r>
      <w:r w:rsidRPr="00A10663">
        <w:t xml:space="preserve">; and </w:t>
      </w:r>
    </w:p>
    <w:p w14:paraId="0F61C599" w14:textId="726941F4" w:rsidR="002B3376" w:rsidRPr="00A10663" w:rsidRDefault="000C4AB1" w:rsidP="00BD6C7D">
      <w:pPr>
        <w:numPr>
          <w:ilvl w:val="1"/>
          <w:numId w:val="15"/>
        </w:numPr>
        <w:spacing w:after="260"/>
        <w:ind w:right="204" w:hanging="360"/>
      </w:pPr>
      <w:r w:rsidRPr="00A10663">
        <w:rPr>
          <w:rFonts w:eastAsia="Cambria Math" w:cs="Cambria Math"/>
        </w:rPr>
        <w:t>𝑤</w:t>
      </w:r>
      <w:r w:rsidRPr="00A10663">
        <w:rPr>
          <w:rFonts w:eastAsia="Cambria Math" w:cs="Cambria Math"/>
          <w:vertAlign w:val="subscript"/>
        </w:rPr>
        <w:t xml:space="preserve">𝑐𝑜𝑟𝑝,𝑐 </w:t>
      </w:r>
      <w:r w:rsidRPr="00A10663">
        <w:t xml:space="preserve"> denotes the weight of the corporate bond portfolio in the representative portfolio for currency </w:t>
      </w:r>
      <w:r w:rsidRPr="00A10663">
        <w:rPr>
          <w:i/>
        </w:rPr>
        <w:t>c</w:t>
      </w:r>
      <w:r w:rsidR="00790440" w:rsidRPr="00A10663">
        <w:rPr>
          <w:i/>
        </w:rPr>
        <w:t xml:space="preserve">, </w:t>
      </w:r>
      <w:r w:rsidR="00790440" w:rsidRPr="00A10663">
        <w:rPr>
          <w:iCs/>
        </w:rPr>
        <w:t>that is the weight of FI instruments in the portfolio other than government bonds.</w:t>
      </w:r>
      <w:r w:rsidR="00790440" w:rsidRPr="00A10663">
        <w:rPr>
          <w:i/>
        </w:rPr>
        <w:t xml:space="preserve"> </w:t>
      </w:r>
      <w:r w:rsidRPr="00A10663">
        <w:t xml:space="preserve"> </w:t>
      </w:r>
    </w:p>
    <w:p w14:paraId="34E638CD" w14:textId="2510E4AE" w:rsidR="002B3376" w:rsidRPr="00A10663" w:rsidRDefault="000C4AB1" w:rsidP="00BD6C7D">
      <w:pPr>
        <w:numPr>
          <w:ilvl w:val="0"/>
          <w:numId w:val="5"/>
        </w:numPr>
        <w:spacing w:after="257"/>
        <w:ind w:right="204" w:hanging="566"/>
      </w:pPr>
      <w:bookmarkStart w:id="12" w:name="_Ref182256581"/>
      <w:r w:rsidRPr="00A10663">
        <w:t xml:space="preserve">For the determination of the risk-corrected spread </w:t>
      </w:r>
      <w:r w:rsidRPr="00A10663">
        <w:rPr>
          <w:rFonts w:eastAsia="Cambria Math" w:cs="Cambria Math"/>
        </w:rPr>
        <w:t>𝑅𝐶_𝑆</w:t>
      </w:r>
      <w:r w:rsidRPr="00A10663">
        <w:rPr>
          <w:rFonts w:eastAsia="Cambria Math" w:cs="Cambria Math"/>
          <w:vertAlign w:val="subscript"/>
        </w:rPr>
        <w:t>𝑐</w:t>
      </w:r>
      <w:r w:rsidRPr="00A10663">
        <w:t xml:space="preserve"> </w:t>
      </w:r>
      <w:r w:rsidR="00D40C60" w:rsidRPr="00A10663">
        <w:t>we</w:t>
      </w:r>
      <w:r w:rsidRPr="00A10663">
        <w:t xml:space="preserve"> computed the risk correction </w:t>
      </w:r>
      <w:r w:rsidRPr="00A10663">
        <w:rPr>
          <w:rFonts w:eastAsia="Cambria Math" w:cs="Cambria Math"/>
        </w:rPr>
        <w:t>𝑅𝐶</w:t>
      </w:r>
      <w:r w:rsidRPr="00A10663">
        <w:t xml:space="preserve"> of a spread </w:t>
      </w:r>
      <w:r w:rsidRPr="00A10663">
        <w:rPr>
          <w:rFonts w:eastAsia="Cambria Math" w:cs="Cambria Math"/>
        </w:rPr>
        <w:t>𝑆</w:t>
      </w:r>
      <w:r w:rsidRPr="00A10663">
        <w:t xml:space="preserve"> as </w:t>
      </w:r>
      <w:r w:rsidR="005C08AF" w:rsidRPr="00A10663">
        <w:t xml:space="preserve">described </w:t>
      </w:r>
      <w:bookmarkEnd w:id="12"/>
      <w:r w:rsidR="003D73DA" w:rsidRPr="00A10663">
        <w:t xml:space="preserve">in paragraphs </w:t>
      </w:r>
      <w:r w:rsidR="003D73DA" w:rsidRPr="00A10663">
        <w:fldChar w:fldCharType="begin"/>
      </w:r>
      <w:r w:rsidR="003D73DA" w:rsidRPr="00A10663">
        <w:instrText xml:space="preserve"> REF _Ref190204984 \r \h </w:instrText>
      </w:r>
      <w:r w:rsidR="00A10663" w:rsidRPr="00A10663">
        <w:instrText xml:space="preserve"> \* MERGEFORMAT </w:instrText>
      </w:r>
      <w:r w:rsidR="003D73DA" w:rsidRPr="00A10663">
        <w:fldChar w:fldCharType="separate"/>
      </w:r>
      <w:r w:rsidR="006730B0">
        <w:t>39</w:t>
      </w:r>
      <w:r w:rsidR="003D73DA" w:rsidRPr="00A10663">
        <w:fldChar w:fldCharType="end"/>
      </w:r>
      <w:r w:rsidR="003D73DA" w:rsidRPr="00A10663">
        <w:t xml:space="preserve"> and </w:t>
      </w:r>
      <w:r w:rsidR="003D73DA" w:rsidRPr="00A10663">
        <w:fldChar w:fldCharType="begin"/>
      </w:r>
      <w:r w:rsidR="003D73DA" w:rsidRPr="00A10663">
        <w:instrText xml:space="preserve"> REF _Ref182256596 \r \h </w:instrText>
      </w:r>
      <w:r w:rsidR="00A10663" w:rsidRPr="00A10663">
        <w:instrText xml:space="preserve"> \* MERGEFORMAT </w:instrText>
      </w:r>
      <w:r w:rsidR="003D73DA" w:rsidRPr="00A10663">
        <w:fldChar w:fldCharType="separate"/>
      </w:r>
      <w:r w:rsidR="006730B0">
        <w:t>40</w:t>
      </w:r>
      <w:r w:rsidR="003D73DA" w:rsidRPr="00A10663">
        <w:fldChar w:fldCharType="end"/>
      </w:r>
      <w:r w:rsidR="005C08AF" w:rsidRPr="00A10663">
        <w:t xml:space="preserve"> below.</w:t>
      </w:r>
      <w:r w:rsidRPr="00A10663">
        <w:t xml:space="preserve">   </w:t>
      </w:r>
    </w:p>
    <w:p w14:paraId="7F1DEF7A" w14:textId="77777777" w:rsidR="002B3376" w:rsidRPr="00A10663" w:rsidRDefault="000C4AB1" w:rsidP="00BD6C7D">
      <w:pPr>
        <w:numPr>
          <w:ilvl w:val="0"/>
          <w:numId w:val="5"/>
        </w:numPr>
        <w:spacing w:after="250"/>
        <w:ind w:right="204" w:hanging="566"/>
      </w:pPr>
      <w:bookmarkStart w:id="13" w:name="_Ref190204984"/>
      <w:r w:rsidRPr="00A10663">
        <w:t>For government bonds issued by EEA countries, the risk correction is determined as</w:t>
      </w:r>
      <w:bookmarkEnd w:id="13"/>
      <w:r w:rsidRPr="00A10663">
        <w:t xml:space="preserve"> </w:t>
      </w:r>
    </w:p>
    <w:p w14:paraId="2FB1C637" w14:textId="6AEAF4AE" w:rsidR="00BE4D62" w:rsidRPr="00A10663" w:rsidRDefault="000117F2" w:rsidP="00BD6C7D">
      <w:pPr>
        <w:pStyle w:val="ListParagraph"/>
        <w:spacing w:after="130" w:line="259" w:lineRule="auto"/>
        <w:ind w:left="566" w:right="1620" w:firstLine="0"/>
        <w:jc w:val="center"/>
        <w:rPr>
          <w:rFonts w:eastAsia="Cambria Math" w:cs="Cambria Math"/>
        </w:rPr>
      </w:pPr>
      <m:oMath>
        <m:r>
          <w:rPr>
            <w:rFonts w:eastAsia="Cambria Math" w:cs="Cambria Math"/>
            <w:szCs w:val="22"/>
          </w:rPr>
          <m:t>RC=</m:t>
        </m:r>
        <m:r>
          <m:rPr>
            <m:sty m:val="p"/>
          </m:rPr>
          <w:rPr>
            <w:rFonts w:eastAsia="Cambria Math" w:cs="Cambria Math"/>
            <w:szCs w:val="22"/>
          </w:rPr>
          <m:t>min⁡</m:t>
        </m:r>
        <m:r>
          <w:rPr>
            <w:rFonts w:eastAsia="Cambria Math" w:cs="Cambria Math"/>
            <w:szCs w:val="22"/>
          </w:rPr>
          <m:t>[30%∙</m:t>
        </m:r>
        <m:func>
          <m:funcPr>
            <m:ctrlPr>
              <w:rPr>
                <w:rFonts w:ascii="Cambria Math" w:eastAsia="Cambria Math" w:hAnsi="Cambria Math" w:cs="Cambria Math"/>
                <w:i/>
                <w:szCs w:val="22"/>
              </w:rPr>
            </m:ctrlPr>
          </m:funcPr>
          <m:fName>
            <m:r>
              <w:rPr>
                <w:rFonts w:eastAsia="Cambria Math" w:cs="Cambria Math"/>
                <w:szCs w:val="22"/>
              </w:rPr>
              <m:t>min</m:t>
            </m:r>
          </m:fName>
          <m:e>
            <m:d>
              <m:dPr>
                <m:ctrlPr>
                  <w:rPr>
                    <w:rFonts w:ascii="Cambria Math" w:eastAsia="Cambria Math" w:hAnsi="Cambria Math" w:cs="Cambria Math"/>
                    <w:i/>
                    <w:szCs w:val="22"/>
                  </w:rPr>
                </m:ctrlPr>
              </m:dPr>
              <m:e>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e>
            </m:d>
          </m:e>
        </m:func>
        <m:r>
          <w:rPr>
            <w:rFonts w:eastAsia="Cambria Math" w:cs="Cambria Math"/>
            <w:szCs w:val="22"/>
          </w:rPr>
          <m:t>+20%∙</m:t>
        </m:r>
        <m:func>
          <m:funcPr>
            <m:ctrlPr>
              <w:rPr>
                <w:rFonts w:ascii="Cambria Math" w:eastAsia="Cambria Math" w:hAnsi="Cambria Math" w:cs="Cambria Math"/>
                <w:i/>
                <w:szCs w:val="22"/>
              </w:rPr>
            </m:ctrlPr>
          </m:funcPr>
          <m:fName>
            <m:r>
              <w:rPr>
                <w:rFonts w:eastAsia="Cambria Math" w:cs="Cambria Math"/>
                <w:szCs w:val="22"/>
              </w:rPr>
              <m:t>max</m:t>
            </m:r>
          </m:fName>
          <m:e>
            <m:d>
              <m:dPr>
                <m:begChr m:val="{"/>
                <m:endChr m:val="}"/>
                <m:ctrlPr>
                  <w:rPr>
                    <w:rFonts w:ascii="Cambria Math" w:eastAsia="Cambria Math" w:hAnsi="Cambria Math" w:cs="Cambria Math"/>
                    <w:i/>
                    <w:szCs w:val="22"/>
                  </w:rPr>
                </m:ctrlPr>
              </m:dPr>
              <m:e>
                <m:r>
                  <w:rPr>
                    <w:rFonts w:eastAsia="Cambria Math" w:cs="Cambria Math"/>
                    <w:szCs w:val="22"/>
                  </w:rPr>
                  <m:t>0,</m:t>
                </m:r>
                <m:func>
                  <m:funcPr>
                    <m:ctrlPr>
                      <w:rPr>
                        <w:rFonts w:ascii="Cambria Math" w:eastAsia="Cambria Math" w:hAnsi="Cambria Math" w:cs="Cambria Math"/>
                        <w:i/>
                        <w:szCs w:val="22"/>
                      </w:rPr>
                    </m:ctrlPr>
                  </m:funcPr>
                  <m:fName>
                    <m:r>
                      <w:rPr>
                        <w:rFonts w:eastAsia="Cambria Math" w:cs="Cambria Math"/>
                        <w:szCs w:val="22"/>
                      </w:rPr>
                      <m:t>min</m:t>
                    </m:r>
                  </m:fName>
                  <m:e>
                    <m:d>
                      <m:dPr>
                        <m:ctrlPr>
                          <w:rPr>
                            <w:rFonts w:ascii="Cambria Math" w:eastAsia="Cambria Math" w:hAnsi="Cambria Math" w:cs="Cambria Math"/>
                            <w:i/>
                            <w:szCs w:val="22"/>
                          </w:rPr>
                        </m:ctrlPr>
                      </m:dPr>
                      <m:e>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e>
                    </m:d>
                  </m:e>
                </m:func>
              </m:e>
            </m:d>
          </m:e>
        </m:func>
        <m:r>
          <w:rPr>
            <w:rFonts w:eastAsia="Cambria Math" w:cs="Cambria Math"/>
            <w:szCs w:val="22"/>
          </w:rPr>
          <m:t>+15%∙</m:t>
        </m:r>
        <m:func>
          <m:funcPr>
            <m:ctrlPr>
              <w:rPr>
                <w:rFonts w:ascii="Cambria Math" w:eastAsia="Cambria Math" w:hAnsi="Cambria Math" w:cs="Cambria Math"/>
                <w:i/>
                <w:szCs w:val="22"/>
              </w:rPr>
            </m:ctrlPr>
          </m:funcPr>
          <m:fName>
            <m:r>
              <w:rPr>
                <w:rFonts w:eastAsia="Cambria Math" w:cs="Cambria Math"/>
                <w:szCs w:val="22"/>
              </w:rPr>
              <m:t>max</m:t>
            </m:r>
          </m:fName>
          <m:e>
            <m:d>
              <m:dPr>
                <m:begChr m:val="{"/>
                <m:endChr m:val="}"/>
                <m:ctrlPr>
                  <w:rPr>
                    <w:rFonts w:ascii="Cambria Math" w:eastAsia="Cambria Math" w:hAnsi="Cambria Math" w:cs="Cambria Math"/>
                    <w:i/>
                    <w:szCs w:val="22"/>
                  </w:rPr>
                </m:ctrlPr>
              </m:dPr>
              <m:e>
                <m:r>
                  <w:rPr>
                    <w:rFonts w:eastAsia="Cambria Math" w:cs="Cambria Math"/>
                    <w:szCs w:val="22"/>
                  </w:rPr>
                  <m:t>0,</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-2∙LTA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e>
            </m:d>
          </m:e>
        </m:func>
        <m:r>
          <w:rPr>
            <w:rFonts w:eastAsia="Cambria Math" w:cs="Cambria Math"/>
            <w:szCs w:val="22"/>
          </w:rPr>
          <m:t>;105%∙LTA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m:t>
        </m:r>
      </m:oMath>
      <w:r w:rsidR="00BE4D62" w:rsidRPr="00A10663">
        <w:rPr>
          <w:rFonts w:eastAsia="Cambria Math" w:cs="Cambria Math"/>
        </w:rPr>
        <w:t xml:space="preserve"> </w:t>
      </w:r>
    </w:p>
    <w:p w14:paraId="69DB4352" w14:textId="40A20220" w:rsidR="0024126E" w:rsidRPr="00A10663" w:rsidRDefault="0024126E" w:rsidP="00BD6C7D">
      <w:pPr>
        <w:spacing w:after="130" w:line="259" w:lineRule="auto"/>
        <w:ind w:left="1418" w:right="1620" w:hanging="10"/>
        <w:jc w:val="center"/>
        <w:rPr>
          <w:rFonts w:eastAsia="Cambria Math" w:cs="Cambria Math"/>
        </w:rPr>
      </w:pPr>
    </w:p>
    <w:p w14:paraId="54F92037" w14:textId="77777777" w:rsidR="002B3376" w:rsidRPr="00A10663" w:rsidRDefault="000C4AB1" w:rsidP="00BD6C7D">
      <w:pPr>
        <w:ind w:left="566" w:right="204" w:firstLine="0"/>
      </w:pPr>
      <w:r w:rsidRPr="00A10663">
        <w:t xml:space="preserve">where </w:t>
      </w:r>
    </w:p>
    <w:p w14:paraId="7455CD05" w14:textId="26BDD03A" w:rsidR="002B3376" w:rsidRPr="00A10663" w:rsidRDefault="000C4AB1" w:rsidP="00BD6C7D">
      <w:pPr>
        <w:numPr>
          <w:ilvl w:val="1"/>
          <w:numId w:val="15"/>
        </w:numPr>
        <w:ind w:right="204" w:hanging="360"/>
      </w:pPr>
      <w:r w:rsidRPr="00A10663">
        <w:rPr>
          <w:rFonts w:eastAsia="Cambria Math" w:cs="Cambria Math"/>
        </w:rPr>
        <w:t>𝑆</w:t>
      </w:r>
      <w:r w:rsidRPr="00A10663">
        <w:t xml:space="preserve"> denotes the average spread of government bonds in the respective subclass</w:t>
      </w:r>
      <w:r w:rsidRPr="00A10663">
        <w:rPr>
          <w:vertAlign w:val="superscript"/>
        </w:rPr>
        <w:footnoteReference w:id="12"/>
      </w:r>
      <w:r w:rsidRPr="00A10663">
        <w:t xml:space="preserve"> of government bonds in the representative portfolio for currency </w:t>
      </w:r>
      <w:r w:rsidRPr="00A10663">
        <w:rPr>
          <w:i/>
        </w:rPr>
        <w:t>c</w:t>
      </w:r>
      <w:r w:rsidRPr="00A10663">
        <w:t xml:space="preserve">; </w:t>
      </w:r>
      <w:r w:rsidR="00605D07" w:rsidRPr="00A10663">
        <w:t>and</w:t>
      </w:r>
      <w:r w:rsidRPr="00A10663">
        <w:t xml:space="preserve">  </w:t>
      </w:r>
    </w:p>
    <w:p w14:paraId="1AA7405D" w14:textId="3562AF5E" w:rsidR="002B3376" w:rsidRPr="00A10663" w:rsidRDefault="000C4AB1" w:rsidP="00BD6C7D">
      <w:pPr>
        <w:numPr>
          <w:ilvl w:val="1"/>
          <w:numId w:val="15"/>
        </w:numPr>
        <w:ind w:right="204" w:hanging="360"/>
      </w:pPr>
      <w:r w:rsidRPr="00A10663">
        <w:rPr>
          <w:rFonts w:eastAsia="Cambria Math" w:cs="Cambria Math"/>
        </w:rPr>
        <w:t>𝑆</w:t>
      </w:r>
      <w:r w:rsidRPr="00A10663">
        <w:rPr>
          <w:rFonts w:eastAsia="Cambria Math" w:cs="Cambria Math"/>
          <w:vertAlign w:val="superscript"/>
        </w:rPr>
        <w:t xml:space="preserve">+ </w:t>
      </w:r>
      <w:r w:rsidRPr="00A10663">
        <w:rPr>
          <w:rFonts w:eastAsia="Cambria Math" w:cs="Cambria Math"/>
        </w:rPr>
        <w:t>= max (𝑆, 0)</w:t>
      </w:r>
      <w:r w:rsidRPr="00A10663">
        <w:t xml:space="preserve"> is the maximum of S and zero; </w:t>
      </w:r>
      <w:r w:rsidR="00605D07" w:rsidRPr="00A10663">
        <w:t>and</w:t>
      </w:r>
    </w:p>
    <w:p w14:paraId="1D5CF9E4" w14:textId="05AA6902" w:rsidR="002B3376" w:rsidRPr="00A10663" w:rsidRDefault="000C4AB1" w:rsidP="00BD6C7D">
      <w:pPr>
        <w:numPr>
          <w:ilvl w:val="1"/>
          <w:numId w:val="15"/>
        </w:numPr>
        <w:ind w:right="204" w:hanging="360"/>
      </w:pPr>
      <w:r w:rsidRPr="00A10663">
        <w:rPr>
          <w:rFonts w:eastAsia="Cambria Math" w:cs="Cambria Math"/>
        </w:rPr>
        <w:t>𝐿𝑇𝐴𝑆</w:t>
      </w:r>
      <w:r w:rsidRPr="00A10663">
        <w:t xml:space="preserve"> denotes the long-term average spread of government bonds in the respective sub-class of government bonds in the representative portfolio for currency </w:t>
      </w:r>
      <w:r w:rsidRPr="00A10663">
        <w:rPr>
          <w:i/>
        </w:rPr>
        <w:t>c;</w:t>
      </w:r>
      <w:r w:rsidRPr="00A10663">
        <w:t xml:space="preserve"> </w:t>
      </w:r>
      <w:r w:rsidR="00605D07" w:rsidRPr="00A10663">
        <w:t>and</w:t>
      </w:r>
    </w:p>
    <w:p w14:paraId="62962E1E" w14:textId="77777777" w:rsidR="00FC76DC" w:rsidRPr="00A10663" w:rsidRDefault="000C4AB1" w:rsidP="00BD6C7D">
      <w:pPr>
        <w:numPr>
          <w:ilvl w:val="1"/>
          <w:numId w:val="15"/>
        </w:numPr>
        <w:spacing w:after="107"/>
        <w:ind w:right="204" w:hanging="360"/>
      </w:pPr>
      <w:r w:rsidRPr="00A10663">
        <w:rPr>
          <w:rFonts w:eastAsia="Cambria Math" w:cs="Cambria Math"/>
        </w:rPr>
        <w:t>𝐿𝑇𝐴𝑆</w:t>
      </w:r>
      <w:r w:rsidRPr="00A10663">
        <w:rPr>
          <w:rFonts w:eastAsia="Cambria Math" w:cs="Cambria Math"/>
          <w:vertAlign w:val="superscript"/>
        </w:rPr>
        <w:t xml:space="preserve">+ </w:t>
      </w:r>
      <w:r w:rsidRPr="00A10663">
        <w:rPr>
          <w:rFonts w:eastAsia="Cambria Math" w:cs="Cambria Math"/>
        </w:rPr>
        <w:t>= max( 𝐿𝑇𝐴𝑆, 0)</w:t>
      </w:r>
      <w:r w:rsidRPr="00A10663">
        <w:t xml:space="preserve"> is the maximum of the long-term average spread and zero. </w:t>
      </w:r>
    </w:p>
    <w:p w14:paraId="6C995E75" w14:textId="3F923009" w:rsidR="002B3376" w:rsidRPr="00A10663" w:rsidRDefault="002B3376" w:rsidP="00805F28">
      <w:pPr>
        <w:spacing w:after="107"/>
        <w:ind w:right="204" w:hanging="3"/>
      </w:pPr>
    </w:p>
    <w:p w14:paraId="52C9A125" w14:textId="77777777" w:rsidR="002B3376" w:rsidRPr="00A10663" w:rsidRDefault="000C4AB1" w:rsidP="00BD6C7D">
      <w:pPr>
        <w:numPr>
          <w:ilvl w:val="0"/>
          <w:numId w:val="5"/>
        </w:numPr>
        <w:spacing w:after="248"/>
        <w:ind w:right="204" w:hanging="566"/>
      </w:pPr>
      <w:bookmarkStart w:id="14" w:name="_Ref182256596"/>
      <w:r w:rsidRPr="00A10663">
        <w:lastRenderedPageBreak/>
        <w:t>For other fixed income investments in the representative portfolio, the risk correction is determined as</w:t>
      </w:r>
      <w:bookmarkEnd w:id="14"/>
      <w:r w:rsidRPr="00A10663">
        <w:t xml:space="preserve"> </w:t>
      </w:r>
    </w:p>
    <w:p w14:paraId="7DEB6403" w14:textId="48E071B3" w:rsidR="00004D81" w:rsidRPr="00A10663" w:rsidRDefault="000117F2" w:rsidP="00BD6C7D">
      <w:pPr>
        <w:pStyle w:val="ListParagraph"/>
        <w:spacing w:after="130" w:line="259" w:lineRule="auto"/>
        <w:ind w:left="566" w:right="1620" w:firstLine="0"/>
        <w:jc w:val="center"/>
        <w:rPr>
          <w:rFonts w:eastAsia="Cambria Math" w:cs="Cambria Math"/>
        </w:rPr>
      </w:pPr>
      <m:oMath>
        <m:r>
          <w:rPr>
            <w:rFonts w:eastAsia="Cambria Math" w:cs="Cambria Math"/>
            <w:szCs w:val="22"/>
          </w:rPr>
          <m:t>RC=</m:t>
        </m:r>
        <m:r>
          <m:rPr>
            <m:sty m:val="p"/>
          </m:rPr>
          <w:rPr>
            <w:rFonts w:eastAsia="Cambria Math" w:cs="Cambria Math"/>
            <w:szCs w:val="22"/>
          </w:rPr>
          <m:t>min⁡</m:t>
        </m:r>
        <m:r>
          <w:rPr>
            <w:rFonts w:eastAsia="Cambria Math" w:cs="Cambria Math"/>
            <w:szCs w:val="22"/>
          </w:rPr>
          <m:t>[50%∙</m:t>
        </m:r>
        <m:func>
          <m:funcPr>
            <m:ctrlPr>
              <w:rPr>
                <w:rFonts w:ascii="Cambria Math" w:eastAsia="Cambria Math" w:hAnsi="Cambria Math" w:cs="Cambria Math"/>
                <w:i/>
                <w:szCs w:val="22"/>
              </w:rPr>
            </m:ctrlPr>
          </m:funcPr>
          <m:fName>
            <m:r>
              <w:rPr>
                <w:rFonts w:eastAsia="Cambria Math" w:cs="Cambria Math"/>
                <w:szCs w:val="22"/>
              </w:rPr>
              <m:t>min</m:t>
            </m:r>
          </m:fName>
          <m:e>
            <m:d>
              <m:dPr>
                <m:ctrlPr>
                  <w:rPr>
                    <w:rFonts w:ascii="Cambria Math" w:eastAsia="Cambria Math" w:hAnsi="Cambria Math" w:cs="Cambria Math"/>
                    <w:i/>
                    <w:szCs w:val="22"/>
                  </w:rPr>
                </m:ctrlPr>
              </m:dPr>
              <m:e>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e>
            </m:d>
          </m:e>
        </m:func>
        <m:r>
          <w:rPr>
            <w:rFonts w:eastAsia="Cambria Math" w:cs="Cambria Math"/>
            <w:szCs w:val="22"/>
          </w:rPr>
          <m:t>+40%∙</m:t>
        </m:r>
        <m:func>
          <m:funcPr>
            <m:ctrlPr>
              <w:rPr>
                <w:rFonts w:ascii="Cambria Math" w:eastAsia="Cambria Math" w:hAnsi="Cambria Math" w:cs="Cambria Math"/>
                <w:i/>
                <w:szCs w:val="22"/>
              </w:rPr>
            </m:ctrlPr>
          </m:funcPr>
          <m:fName>
            <m:r>
              <w:rPr>
                <w:rFonts w:eastAsia="Cambria Math" w:cs="Cambria Math"/>
                <w:szCs w:val="22"/>
              </w:rPr>
              <m:t>max</m:t>
            </m:r>
          </m:fName>
          <m:e>
            <m:d>
              <m:dPr>
                <m:begChr m:val="{"/>
                <m:endChr m:val="}"/>
                <m:ctrlPr>
                  <w:rPr>
                    <w:rFonts w:ascii="Cambria Math" w:eastAsia="Cambria Math" w:hAnsi="Cambria Math" w:cs="Cambria Math"/>
                    <w:i/>
                    <w:szCs w:val="22"/>
                  </w:rPr>
                </m:ctrlPr>
              </m:dPr>
              <m:e>
                <m:r>
                  <w:rPr>
                    <w:rFonts w:eastAsia="Cambria Math" w:cs="Cambria Math"/>
                    <w:szCs w:val="22"/>
                  </w:rPr>
                  <m:t>0,</m:t>
                </m:r>
                <m:func>
                  <m:funcPr>
                    <m:ctrlPr>
                      <w:rPr>
                        <w:rFonts w:ascii="Cambria Math" w:eastAsia="Cambria Math" w:hAnsi="Cambria Math" w:cs="Cambria Math"/>
                        <w:i/>
                        <w:szCs w:val="22"/>
                      </w:rPr>
                    </m:ctrlPr>
                  </m:funcPr>
                  <m:fName>
                    <m:r>
                      <w:rPr>
                        <w:rFonts w:eastAsia="Cambria Math" w:cs="Cambria Math"/>
                        <w:szCs w:val="22"/>
                      </w:rPr>
                      <m:t>min</m:t>
                    </m:r>
                  </m:fName>
                  <m:e>
                    <m:d>
                      <m:dPr>
                        <m:ctrlPr>
                          <w:rPr>
                            <w:rFonts w:ascii="Cambria Math" w:eastAsia="Cambria Math" w:hAnsi="Cambria Math" w:cs="Cambria Math"/>
                            <w:i/>
                            <w:szCs w:val="22"/>
                          </w:rPr>
                        </m:ctrlPr>
                      </m:dPr>
                      <m:e>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e>
                    </m:d>
                  </m:e>
                </m:func>
              </m:e>
            </m:d>
          </m:e>
        </m:func>
        <m:r>
          <w:rPr>
            <w:rFonts w:eastAsia="Cambria Math" w:cs="Cambria Math"/>
            <w:szCs w:val="22"/>
          </w:rPr>
          <m:t>+35%∙</m:t>
        </m:r>
        <m:func>
          <m:funcPr>
            <m:ctrlPr>
              <w:rPr>
                <w:rFonts w:ascii="Cambria Math" w:eastAsia="Cambria Math" w:hAnsi="Cambria Math" w:cs="Cambria Math"/>
                <w:i/>
                <w:szCs w:val="22"/>
              </w:rPr>
            </m:ctrlPr>
          </m:funcPr>
          <m:fName>
            <m:r>
              <w:rPr>
                <w:rFonts w:eastAsia="Cambria Math" w:cs="Cambria Math"/>
                <w:szCs w:val="22"/>
              </w:rPr>
              <m:t>max</m:t>
            </m:r>
          </m:fName>
          <m:e>
            <m:d>
              <m:dPr>
                <m:begChr m:val="{"/>
                <m:endChr m:val="}"/>
                <m:ctrlPr>
                  <w:rPr>
                    <w:rFonts w:ascii="Cambria Math" w:eastAsia="Cambria Math" w:hAnsi="Cambria Math" w:cs="Cambria Math"/>
                    <w:i/>
                    <w:szCs w:val="22"/>
                  </w:rPr>
                </m:ctrlPr>
              </m:dPr>
              <m:e>
                <m:r>
                  <w:rPr>
                    <w:rFonts w:eastAsia="Cambria Math" w:cs="Cambria Math"/>
                    <w:szCs w:val="22"/>
                  </w:rPr>
                  <m:t>0,</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-2∙LTA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e>
            </m:d>
          </m:e>
        </m:func>
        <m:r>
          <w:rPr>
            <w:rFonts w:eastAsia="Cambria Math" w:cs="Cambria Math"/>
            <w:szCs w:val="22"/>
          </w:rPr>
          <m:t>;195%∙LTA</m:t>
        </m:r>
        <m:sSup>
          <m:sSupPr>
            <m:ctrlPr>
              <w:rPr>
                <w:rFonts w:ascii="Cambria Math" w:eastAsia="Cambria Math" w:hAnsi="Cambria Math" w:cs="Cambria Math"/>
                <w:i/>
                <w:szCs w:val="22"/>
              </w:rPr>
            </m:ctrlPr>
          </m:sSupPr>
          <m:e>
            <m:r>
              <w:rPr>
                <w:rFonts w:eastAsia="Cambria Math" w:cs="Cambria Math"/>
                <w:szCs w:val="22"/>
              </w:rPr>
              <m:t>S</m:t>
            </m:r>
          </m:e>
          <m:sup>
            <m:r>
              <w:rPr>
                <w:rFonts w:eastAsia="Cambria Math" w:cs="Cambria Math"/>
                <w:szCs w:val="22"/>
              </w:rPr>
              <m:t>+</m:t>
            </m:r>
          </m:sup>
        </m:sSup>
        <m:r>
          <w:rPr>
            <w:rFonts w:eastAsia="Cambria Math" w:cs="Cambria Math"/>
            <w:szCs w:val="22"/>
          </w:rPr>
          <m:t>]</m:t>
        </m:r>
      </m:oMath>
      <w:r w:rsidR="00004D81" w:rsidRPr="00A10663">
        <w:rPr>
          <w:rFonts w:eastAsia="Cambria Math" w:cs="Cambria Math"/>
        </w:rPr>
        <w:t xml:space="preserve"> </w:t>
      </w:r>
    </w:p>
    <w:p w14:paraId="26723B85" w14:textId="2126310B" w:rsidR="002B3376" w:rsidRPr="00A10663" w:rsidRDefault="000C4AB1" w:rsidP="00BD6C7D">
      <w:pPr>
        <w:ind w:left="566" w:right="204" w:firstLine="0"/>
      </w:pPr>
      <w:r w:rsidRPr="00A10663">
        <w:t xml:space="preserve">where </w:t>
      </w:r>
    </w:p>
    <w:p w14:paraId="07622C38" w14:textId="6576C361" w:rsidR="002B3376" w:rsidRPr="00A10663" w:rsidRDefault="000C4AB1" w:rsidP="00BD6C7D">
      <w:pPr>
        <w:numPr>
          <w:ilvl w:val="1"/>
          <w:numId w:val="15"/>
        </w:numPr>
        <w:ind w:right="204" w:hanging="360"/>
      </w:pPr>
      <w:r w:rsidRPr="00A10663">
        <w:rPr>
          <w:rFonts w:eastAsia="Cambria Math" w:cs="Cambria Math"/>
        </w:rPr>
        <w:t>𝑆</w:t>
      </w:r>
      <w:r w:rsidRPr="00A10663">
        <w:t xml:space="preserve"> denotes the average spread of fixed income investments in the respective sub-class</w:t>
      </w:r>
      <w:r w:rsidRPr="00A10663">
        <w:rPr>
          <w:vertAlign w:val="superscript"/>
        </w:rPr>
        <w:footnoteReference w:id="13"/>
      </w:r>
      <w:r w:rsidRPr="00A10663">
        <w:t xml:space="preserve"> within the representative portfolio for currency </w:t>
      </w:r>
      <w:r w:rsidRPr="00A10663">
        <w:rPr>
          <w:i/>
        </w:rPr>
        <w:t>c</w:t>
      </w:r>
      <w:r w:rsidRPr="00A10663">
        <w:t xml:space="preserve">; </w:t>
      </w:r>
      <w:r w:rsidR="00BD54AC" w:rsidRPr="00A10663">
        <w:t>and</w:t>
      </w:r>
    </w:p>
    <w:p w14:paraId="5C471E15" w14:textId="70545C84" w:rsidR="002B3376" w:rsidRPr="00A10663" w:rsidRDefault="000C4AB1" w:rsidP="00BD6C7D">
      <w:pPr>
        <w:numPr>
          <w:ilvl w:val="1"/>
          <w:numId w:val="15"/>
        </w:numPr>
        <w:ind w:right="204" w:hanging="360"/>
      </w:pPr>
      <w:r w:rsidRPr="00A10663">
        <w:rPr>
          <w:rFonts w:eastAsia="Cambria Math" w:cs="Cambria Math"/>
        </w:rPr>
        <w:t>𝑆</w:t>
      </w:r>
      <w:r w:rsidRPr="00A10663">
        <w:rPr>
          <w:rFonts w:eastAsia="Cambria Math" w:cs="Cambria Math"/>
          <w:vertAlign w:val="superscript"/>
        </w:rPr>
        <w:t xml:space="preserve">+ </w:t>
      </w:r>
      <w:r w:rsidRPr="00A10663">
        <w:rPr>
          <w:rFonts w:eastAsia="Cambria Math" w:cs="Cambria Math"/>
        </w:rPr>
        <w:t>= max( 𝑆, 0)</w:t>
      </w:r>
      <w:r w:rsidRPr="00A10663">
        <w:t xml:space="preserve"> is the maximum of S and zero; </w:t>
      </w:r>
      <w:r w:rsidR="00BD54AC" w:rsidRPr="00A10663">
        <w:t>and</w:t>
      </w:r>
    </w:p>
    <w:p w14:paraId="2F59FF3F" w14:textId="43C9597E" w:rsidR="002B3376" w:rsidRPr="00A10663" w:rsidRDefault="000C4AB1" w:rsidP="00BD6C7D">
      <w:pPr>
        <w:numPr>
          <w:ilvl w:val="1"/>
          <w:numId w:val="15"/>
        </w:numPr>
        <w:ind w:right="204" w:hanging="360"/>
      </w:pPr>
      <w:r w:rsidRPr="00A10663">
        <w:rPr>
          <w:rFonts w:eastAsia="Cambria Math" w:cs="Cambria Math"/>
        </w:rPr>
        <w:t>𝐿𝑇𝐴𝑆</w:t>
      </w:r>
      <w:r w:rsidRPr="00A10663">
        <w:t xml:space="preserve"> denotes the long-term average spread of fixed-income investments in the respective sub-class within the representative portfolio for currency </w:t>
      </w:r>
      <w:r w:rsidRPr="00A10663">
        <w:rPr>
          <w:i/>
        </w:rPr>
        <w:t>c;</w:t>
      </w:r>
      <w:r w:rsidRPr="00A10663">
        <w:t xml:space="preserve"> </w:t>
      </w:r>
      <w:r w:rsidR="00BD54AC" w:rsidRPr="00A10663">
        <w:t>and</w:t>
      </w:r>
    </w:p>
    <w:p w14:paraId="2AA1D1C7" w14:textId="436A953A" w:rsidR="002B3376" w:rsidRPr="00A10663" w:rsidRDefault="000C4AB1" w:rsidP="00BD6C7D">
      <w:pPr>
        <w:numPr>
          <w:ilvl w:val="1"/>
          <w:numId w:val="15"/>
        </w:numPr>
        <w:spacing w:after="107"/>
        <w:ind w:right="204" w:hanging="360"/>
      </w:pPr>
      <w:r w:rsidRPr="00A10663">
        <w:rPr>
          <w:rFonts w:eastAsia="Cambria Math" w:cs="Cambria Math"/>
        </w:rPr>
        <w:t>𝐿𝑇𝐴𝑆</w:t>
      </w:r>
      <w:r w:rsidRPr="00A10663">
        <w:rPr>
          <w:rFonts w:eastAsia="Cambria Math" w:cs="Cambria Math"/>
          <w:vertAlign w:val="superscript"/>
        </w:rPr>
        <w:t xml:space="preserve">+ </w:t>
      </w:r>
      <w:r w:rsidRPr="00A10663">
        <w:rPr>
          <w:rFonts w:eastAsia="Cambria Math" w:cs="Cambria Math"/>
        </w:rPr>
        <w:t>= max (𝐿𝑇𝐴𝑆, 0)</w:t>
      </w:r>
      <w:r w:rsidRPr="00A10663">
        <w:t xml:space="preserve"> is the maximum of the long-term average spread and zero.  </w:t>
      </w:r>
    </w:p>
    <w:p w14:paraId="0E4965D8" w14:textId="4C388F70" w:rsidR="00004D81" w:rsidRPr="00A10663" w:rsidRDefault="000C4E91" w:rsidP="00BD6C7D">
      <w:pPr>
        <w:numPr>
          <w:ilvl w:val="0"/>
          <w:numId w:val="5"/>
        </w:numPr>
        <w:spacing w:after="110"/>
        <w:ind w:right="204" w:hanging="566"/>
      </w:pPr>
      <w:r w:rsidRPr="00A10663">
        <w:t xml:space="preserve">While </w:t>
      </w:r>
      <w:r w:rsidR="00733B10" w:rsidRPr="00A10663">
        <w:t xml:space="preserve">there is an optional undertaking-specific adjustment </w:t>
      </w:r>
      <w:r w:rsidR="003E719B" w:rsidRPr="00A10663">
        <w:t xml:space="preserve">which impacts the VA, we do not request any quantitative information regarding this undertaking-specific adjustment because of the uncertainty regarding its calculation and the availability of data necessary to do so. We </w:t>
      </w:r>
      <w:r w:rsidR="00EC7895" w:rsidRPr="00A10663">
        <w:t>have included</w:t>
      </w:r>
      <w:r w:rsidR="003E719B" w:rsidRPr="00A10663">
        <w:t xml:space="preserve"> a qualitative question </w:t>
      </w:r>
      <w:r w:rsidR="007665FD" w:rsidRPr="00A10663">
        <w:t>on th</w:t>
      </w:r>
      <w:r w:rsidR="00EC7895" w:rsidRPr="00A10663">
        <w:t>e undertaking-specific adjustment.</w:t>
      </w:r>
    </w:p>
    <w:p w14:paraId="1CF99A7C" w14:textId="67010D71" w:rsidR="002B3376" w:rsidRPr="00A10663" w:rsidRDefault="002B3376" w:rsidP="00BD6C7D">
      <w:pPr>
        <w:spacing w:after="153" w:line="259" w:lineRule="auto"/>
        <w:ind w:left="0" w:firstLine="0"/>
        <w:jc w:val="left"/>
      </w:pPr>
    </w:p>
    <w:p w14:paraId="2EA83CB2" w14:textId="2E6D97EC" w:rsidR="002B3376" w:rsidRPr="00A10663" w:rsidRDefault="00530398" w:rsidP="00805F28">
      <w:pPr>
        <w:pStyle w:val="Heading3"/>
        <w:ind w:left="0"/>
      </w:pPr>
      <w:bookmarkStart w:id="15" w:name="_Toc190205700"/>
      <w:bookmarkStart w:id="16" w:name="_Toc190338549"/>
      <w:r w:rsidRPr="00A10663">
        <w:t>3</w:t>
      </w:r>
      <w:r w:rsidR="000C4AB1" w:rsidRPr="00A10663">
        <w:t>.2.</w:t>
      </w:r>
      <w:r w:rsidR="000C4AB1" w:rsidRPr="00A10663">
        <w:rPr>
          <w:rFonts w:eastAsia="Arial" w:cs="Arial"/>
        </w:rPr>
        <w:t xml:space="preserve"> </w:t>
      </w:r>
      <w:r w:rsidR="000C4AB1" w:rsidRPr="00A10663">
        <w:t>Technical provisions</w:t>
      </w:r>
      <w:bookmarkEnd w:id="15"/>
      <w:bookmarkEnd w:id="16"/>
      <w:r w:rsidR="000C4AB1" w:rsidRPr="00A10663">
        <w:t xml:space="preserve"> </w:t>
      </w:r>
    </w:p>
    <w:p w14:paraId="072D549B" w14:textId="3D69F37B" w:rsidR="002B3376" w:rsidRPr="00A10663" w:rsidRDefault="00A161CD" w:rsidP="00805F28">
      <w:pPr>
        <w:pStyle w:val="Heading4"/>
        <w:spacing w:after="256"/>
        <w:ind w:left="0"/>
      </w:pPr>
      <w:r w:rsidRPr="00A10663">
        <w:t>3</w:t>
      </w:r>
      <w:r w:rsidR="000C4AB1" w:rsidRPr="00A10663">
        <w:t>.2.1.</w:t>
      </w:r>
      <w:r w:rsidR="000C4AB1" w:rsidRPr="00A10663">
        <w:rPr>
          <w:rFonts w:eastAsia="Arial" w:cs="Arial"/>
        </w:rPr>
        <w:t xml:space="preserve"> </w:t>
      </w:r>
      <w:r w:rsidR="000C4AB1" w:rsidRPr="00A10663">
        <w:t xml:space="preserve">Best estimate </w:t>
      </w:r>
    </w:p>
    <w:p w14:paraId="71136CE9" w14:textId="545B00AA" w:rsidR="002B3376" w:rsidRPr="00A10663" w:rsidRDefault="00A161CD" w:rsidP="00805F28">
      <w:pPr>
        <w:pStyle w:val="Heading5"/>
        <w:tabs>
          <w:tab w:val="center" w:pos="2694"/>
        </w:tabs>
        <w:ind w:left="0" w:firstLine="0"/>
      </w:pPr>
      <w:r w:rsidRPr="00A10663">
        <w:t>3</w:t>
      </w:r>
      <w:r w:rsidR="000C4AB1" w:rsidRPr="00A10663">
        <w:t>.2.1.1.</w:t>
      </w:r>
      <w:r w:rsidR="000C4AB1" w:rsidRPr="00A10663">
        <w:rPr>
          <w:rFonts w:eastAsia="Arial" w:cs="Arial"/>
        </w:rPr>
        <w:t xml:space="preserve"> </w:t>
      </w:r>
      <w:r w:rsidR="000C4AB1" w:rsidRPr="00A10663">
        <w:t xml:space="preserve">Contract boundaries </w:t>
      </w:r>
    </w:p>
    <w:p w14:paraId="1146261A" w14:textId="3FC9EA6F" w:rsidR="002B3376" w:rsidRPr="00A10663" w:rsidRDefault="000C4AB1" w:rsidP="00BD6C7D">
      <w:pPr>
        <w:numPr>
          <w:ilvl w:val="0"/>
          <w:numId w:val="5"/>
        </w:numPr>
        <w:spacing w:after="110"/>
        <w:ind w:right="204" w:hanging="566"/>
      </w:pPr>
      <w:r w:rsidRPr="00A10663">
        <w:t xml:space="preserve">Best estimates should be calculated under the assumption that the third paragraph of Article 18(3) Delegated Regulation is only applicable where the undertaking does not have the right to repeat the individual assessment, i.e. as if that paragraph read: </w:t>
      </w:r>
    </w:p>
    <w:p w14:paraId="4B3065DF" w14:textId="796C317F" w:rsidR="002B3376" w:rsidRPr="00A10663" w:rsidRDefault="000C4AB1" w:rsidP="00BD6C7D">
      <w:pPr>
        <w:ind w:left="561" w:right="199" w:hanging="10"/>
      </w:pPr>
      <w:r w:rsidRPr="00A10663">
        <w:rPr>
          <w:i/>
        </w:rPr>
        <w:t xml:space="preserve">“However, in the case of life insurance obligations where an individual risk assessment of the obligations relating to the insured person of the contract is carried out at the inception of the contract and </w:t>
      </w:r>
      <w:r w:rsidRPr="00A10663">
        <w:rPr>
          <w:i/>
          <w:u w:val="single" w:color="000000"/>
        </w:rPr>
        <w:t>the undertaking does not have the</w:t>
      </w:r>
      <w:r w:rsidRPr="00A10663">
        <w:rPr>
          <w:i/>
        </w:rPr>
        <w:t xml:space="preserve"> </w:t>
      </w:r>
      <w:r w:rsidRPr="00A10663">
        <w:rPr>
          <w:i/>
          <w:u w:val="single" w:color="000000"/>
        </w:rPr>
        <w:t>right to repeat the assessment</w:t>
      </w:r>
      <w:r w:rsidRPr="00A10663">
        <w:rPr>
          <w:i/>
        </w:rPr>
        <w:t xml:space="preserve"> before amending the premiums or benefits, insurance and reinsurance undertakings shall assess at the level of the contract whether the premiums fully reflect the risk for the purposes of point (c).“ </w:t>
      </w:r>
    </w:p>
    <w:p w14:paraId="790BCDB3" w14:textId="42356C53" w:rsidR="002B3376" w:rsidRPr="00A10663" w:rsidRDefault="00A161CD" w:rsidP="00805F28">
      <w:pPr>
        <w:pStyle w:val="Heading5"/>
        <w:tabs>
          <w:tab w:val="center" w:pos="2021"/>
        </w:tabs>
        <w:ind w:left="0" w:firstLine="0"/>
      </w:pPr>
      <w:r w:rsidRPr="00A10663">
        <w:t>3</w:t>
      </w:r>
      <w:r w:rsidR="000C4AB1" w:rsidRPr="00A10663">
        <w:t>.2.1.2.</w:t>
      </w:r>
      <w:r w:rsidR="000C4AB1" w:rsidRPr="00A10663">
        <w:rPr>
          <w:rFonts w:eastAsia="Arial" w:cs="Arial"/>
        </w:rPr>
        <w:t xml:space="preserve"> </w:t>
      </w:r>
      <w:r w:rsidR="000C4AB1" w:rsidRPr="00A10663">
        <w:rPr>
          <w:rFonts w:eastAsia="Arial" w:cs="Arial"/>
        </w:rPr>
        <w:tab/>
      </w:r>
      <w:r w:rsidR="000C4AB1" w:rsidRPr="00A10663">
        <w:t xml:space="preserve">Expenses  </w:t>
      </w:r>
    </w:p>
    <w:p w14:paraId="54DF3B5F" w14:textId="2E502FA1" w:rsidR="002B3376" w:rsidRPr="00A10663" w:rsidRDefault="000C4AB1" w:rsidP="00BD6C7D">
      <w:pPr>
        <w:numPr>
          <w:ilvl w:val="0"/>
          <w:numId w:val="5"/>
        </w:numPr>
        <w:spacing w:after="113"/>
        <w:ind w:right="204" w:hanging="566"/>
      </w:pPr>
      <w:r w:rsidRPr="00A10663">
        <w:t xml:space="preserve">Best estimates should be calculated using realistic assumptions on new business for the projection of expenses, i.e. as if Article 31(4) Delegated Regulation read: </w:t>
      </w:r>
    </w:p>
    <w:p w14:paraId="12F5825B" w14:textId="6CF1A156" w:rsidR="002B3376" w:rsidRPr="00A10663" w:rsidRDefault="000C4AB1" w:rsidP="00BD6C7D">
      <w:pPr>
        <w:spacing w:after="174"/>
        <w:ind w:left="561" w:right="199" w:hanging="10"/>
        <w:rPr>
          <w:i/>
        </w:rPr>
      </w:pPr>
      <w:r w:rsidRPr="00A10663">
        <w:lastRenderedPageBreak/>
        <w:t>“</w:t>
      </w:r>
      <w:r w:rsidRPr="00A10663">
        <w:rPr>
          <w:i/>
        </w:rPr>
        <w:t>4. Expenses shall be projected taking into account the decisions of the administrative, management or supervisory body of the undertaking with respect to writing new business“</w:t>
      </w:r>
      <w:r w:rsidR="007E4EAF" w:rsidRPr="00A10663">
        <w:rPr>
          <w:i/>
        </w:rPr>
        <w:t>.</w:t>
      </w:r>
      <w:r w:rsidR="007E4EAF" w:rsidRPr="00A10663">
        <w:rPr>
          <w:rStyle w:val="FootnoteReference"/>
          <w:i/>
        </w:rPr>
        <w:footnoteReference w:id="14"/>
      </w:r>
      <w:r w:rsidRPr="00A10663">
        <w:rPr>
          <w:i/>
        </w:rPr>
        <w:t xml:space="preserve"> </w:t>
      </w:r>
    </w:p>
    <w:p w14:paraId="22689E53" w14:textId="4CD12895" w:rsidR="002B3376" w:rsidRPr="00A10663" w:rsidRDefault="00530398" w:rsidP="00805F28">
      <w:pPr>
        <w:pStyle w:val="Heading4"/>
        <w:ind w:left="0"/>
      </w:pPr>
      <w:r w:rsidRPr="00A10663">
        <w:t>3</w:t>
      </w:r>
      <w:r w:rsidR="000C4AB1" w:rsidRPr="00A10663">
        <w:t>.2.</w:t>
      </w:r>
      <w:r w:rsidR="00203767" w:rsidRPr="00A10663">
        <w:t>2</w:t>
      </w:r>
      <w:r w:rsidR="000C4AB1" w:rsidRPr="00A10663">
        <w:t>.</w:t>
      </w:r>
      <w:r w:rsidR="000C4AB1" w:rsidRPr="00A10663">
        <w:rPr>
          <w:rFonts w:eastAsia="Arial" w:cs="Arial"/>
        </w:rPr>
        <w:t xml:space="preserve"> </w:t>
      </w:r>
      <w:r w:rsidR="000C4AB1" w:rsidRPr="00A10663">
        <w:t xml:space="preserve"> Risk margin </w:t>
      </w:r>
    </w:p>
    <w:p w14:paraId="228E9C4A" w14:textId="7864BA87" w:rsidR="002B3376" w:rsidRPr="00A10663" w:rsidRDefault="000C4AB1" w:rsidP="00BD6C7D">
      <w:pPr>
        <w:numPr>
          <w:ilvl w:val="0"/>
          <w:numId w:val="5"/>
        </w:numPr>
        <w:ind w:right="204" w:hanging="566"/>
      </w:pPr>
      <w:r w:rsidRPr="00A10663">
        <w:t>Risk margins should be calculated in accordance with the following modified calculation (compare</w:t>
      </w:r>
      <w:r w:rsidR="00057045" w:rsidRPr="00A10663">
        <w:t>d to</w:t>
      </w:r>
      <w:r w:rsidRPr="00A10663">
        <w:t xml:space="preserve"> Article 37 Delegated Regulation): </w:t>
      </w:r>
    </w:p>
    <w:p w14:paraId="540E8275" w14:textId="56076DC1" w:rsidR="002B3376" w:rsidRPr="00A10663" w:rsidRDefault="000A2DA7" w:rsidP="00BD6C7D">
      <w:pPr>
        <w:ind w:left="566" w:right="204" w:firstLine="0"/>
      </w:pPr>
      <m:oMath>
        <m:r>
          <w:rPr>
            <w:rFonts w:eastAsia="Cambria Math" w:cs="Cambria Math"/>
            <w:sz w:val="28"/>
            <w:szCs w:val="28"/>
          </w:rPr>
          <m:t>RM=CoC∙</m:t>
        </m:r>
        <m:nary>
          <m:naryPr>
            <m:chr m:val="∑"/>
            <m:limLoc m:val="subSup"/>
            <m:supHide m:val="1"/>
            <m:ctrlPr>
              <w:rPr>
                <w:rFonts w:ascii="Cambria Math" w:eastAsia="Cambria Math" w:hAnsi="Cambria Math" w:cs="Cambria Math"/>
                <w:i/>
                <w:sz w:val="28"/>
                <w:szCs w:val="28"/>
              </w:rPr>
            </m:ctrlPr>
          </m:naryPr>
          <m:sub>
            <m:r>
              <w:rPr>
                <w:rFonts w:eastAsia="Cambria Math" w:cs="Cambria Math"/>
                <w:sz w:val="28"/>
                <w:szCs w:val="28"/>
              </w:rPr>
              <m:t>t≥0</m:t>
            </m:r>
          </m:sub>
          <m:sup/>
          <m:e>
            <m:f>
              <m:fPr>
                <m:ctrlPr>
                  <w:rPr>
                    <w:rFonts w:ascii="Cambria Math" w:eastAsia="Cambria Math" w:hAnsi="Cambria Math" w:cs="Cambria Math"/>
                    <w:i/>
                    <w:sz w:val="28"/>
                    <w:szCs w:val="28"/>
                  </w:rPr>
                </m:ctrlPr>
              </m:fPr>
              <m:num>
                <m:r>
                  <w:rPr>
                    <w:rFonts w:eastAsia="Cambria Math" w:cs="Cambria Math"/>
                    <w:sz w:val="28"/>
                    <w:szCs w:val="28"/>
                  </w:rPr>
                  <m:t>SCR(t)∙</m:t>
                </m:r>
                <m:sSup>
                  <m:sSupPr>
                    <m:ctrlPr>
                      <w:rPr>
                        <w:rFonts w:ascii="Cambria Math" w:eastAsia="Cambria Math" w:hAnsi="Cambria Math" w:cs="Cambria Math"/>
                        <w:i/>
                        <w:sz w:val="28"/>
                        <w:szCs w:val="28"/>
                      </w:rPr>
                    </m:ctrlPr>
                  </m:sSupPr>
                  <m:e>
                    <m:r>
                      <w:rPr>
                        <w:rFonts w:eastAsia="Cambria Math" w:cs="Cambria Math"/>
                        <w:sz w:val="28"/>
                        <w:szCs w:val="28"/>
                      </w:rPr>
                      <m:t>λ</m:t>
                    </m:r>
                  </m:e>
                  <m:sup>
                    <m:r>
                      <w:rPr>
                        <w:rFonts w:eastAsia="Cambria Math" w:cs="Cambria Math"/>
                        <w:sz w:val="28"/>
                        <w:szCs w:val="28"/>
                      </w:rPr>
                      <m:t>t</m:t>
                    </m:r>
                  </m:sup>
                </m:sSup>
              </m:num>
              <m:den>
                <m:sSup>
                  <m:sSupPr>
                    <m:ctrlPr>
                      <w:rPr>
                        <w:rFonts w:ascii="Cambria Math" w:eastAsia="Cambria Math" w:hAnsi="Cambria Math" w:cs="Cambria Math"/>
                        <w:i/>
                        <w:sz w:val="28"/>
                        <w:szCs w:val="28"/>
                      </w:rPr>
                    </m:ctrlPr>
                  </m:sSupPr>
                  <m:e>
                    <m:d>
                      <m:dPr>
                        <m:ctrlPr>
                          <w:rPr>
                            <w:rFonts w:ascii="Cambria Math" w:eastAsia="Cambria Math" w:hAnsi="Cambria Math" w:cs="Cambria Math"/>
                            <w:i/>
                            <w:sz w:val="28"/>
                            <w:szCs w:val="28"/>
                          </w:rPr>
                        </m:ctrlPr>
                      </m:dPr>
                      <m:e>
                        <m:r>
                          <w:rPr>
                            <w:rFonts w:eastAsia="Cambria Math" w:cs="Cambria Math"/>
                            <w:sz w:val="28"/>
                            <w:szCs w:val="28"/>
                          </w:rPr>
                          <m:t>1+r</m:t>
                        </m:r>
                        <m:d>
                          <m:dPr>
                            <m:ctrlPr>
                              <w:rPr>
                                <w:rFonts w:ascii="Cambria Math" w:eastAsia="Cambria Math" w:hAnsi="Cambria Math" w:cs="Cambria Math"/>
                                <w:i/>
                                <w:sz w:val="28"/>
                                <w:szCs w:val="28"/>
                              </w:rPr>
                            </m:ctrlPr>
                          </m:dPr>
                          <m:e>
                            <m:r>
                              <w:rPr>
                                <w:rFonts w:eastAsia="Cambria Math" w:cs="Cambria Math"/>
                                <w:sz w:val="28"/>
                                <w:szCs w:val="28"/>
                              </w:rPr>
                              <m:t>t+1</m:t>
                            </m:r>
                          </m:e>
                        </m:d>
                      </m:e>
                    </m:d>
                  </m:e>
                  <m:sup>
                    <m:r>
                      <w:rPr>
                        <w:rFonts w:eastAsia="Cambria Math" w:cs="Cambria Math"/>
                        <w:sz w:val="28"/>
                        <w:szCs w:val="28"/>
                      </w:rPr>
                      <m:t>t+1</m:t>
                    </m:r>
                  </m:sup>
                </m:sSup>
              </m:den>
            </m:f>
          </m:e>
        </m:nary>
      </m:oMath>
      <w:r w:rsidR="000C4AB1" w:rsidRPr="00A10663">
        <w:t xml:space="preserve">, where </w:t>
      </w:r>
      <w:r w:rsidR="000C4AB1" w:rsidRPr="00A10663">
        <w:rPr>
          <w:rFonts w:eastAsia="Cambria Math" w:cs="Cambria Math"/>
        </w:rPr>
        <w:t>𝜆 = 0.975</w:t>
      </w:r>
      <w:r w:rsidR="003610C5" w:rsidRPr="00A10663">
        <w:rPr>
          <w:rFonts w:eastAsia="Cambria Math" w:cs="Cambria Math"/>
        </w:rPr>
        <w:t xml:space="preserve"> and CoC = </w:t>
      </w:r>
      <w:r w:rsidR="00DD4171" w:rsidRPr="00A10663">
        <w:rPr>
          <w:rFonts w:eastAsia="Cambria Math" w:cs="Cambria Math"/>
        </w:rPr>
        <w:t>4,75%</w:t>
      </w:r>
      <w:r w:rsidR="00A924DE" w:rsidRPr="00A10663">
        <w:rPr>
          <w:rFonts w:eastAsia="Cambria Math" w:cs="Cambria Math"/>
        </w:rPr>
        <w:t>.</w:t>
      </w:r>
      <w:r w:rsidR="000C4AB1" w:rsidRPr="00A10663">
        <w:t xml:space="preserve"> </w:t>
      </w:r>
    </w:p>
    <w:p w14:paraId="4BAFB435" w14:textId="77777777" w:rsidR="002B3376" w:rsidRPr="00A10663" w:rsidRDefault="000C4AB1" w:rsidP="00BD6C7D">
      <w:pPr>
        <w:numPr>
          <w:ilvl w:val="0"/>
          <w:numId w:val="5"/>
        </w:numPr>
        <w:ind w:right="204" w:hanging="566"/>
      </w:pPr>
      <w:r w:rsidRPr="00A10663">
        <w:t xml:space="preserve">Where undertakings apply one of the simplifications for the calculation of the risk margin, which are detailed in the Technical Annex IV of the EIOPA Guidelines on the Valuation of Technical Provisions (EIOPA-BoS-14/166), the following adaptations should be made: </w:t>
      </w:r>
    </w:p>
    <w:p w14:paraId="2EA1346A" w14:textId="77777777" w:rsidR="002B3376" w:rsidRPr="00A10663" w:rsidRDefault="000C4AB1" w:rsidP="00BD6C7D">
      <w:pPr>
        <w:numPr>
          <w:ilvl w:val="1"/>
          <w:numId w:val="18"/>
        </w:numPr>
        <w:spacing w:after="137" w:line="250" w:lineRule="auto"/>
        <w:ind w:right="196" w:hanging="360"/>
      </w:pPr>
      <w:r w:rsidRPr="00A10663">
        <w:rPr>
          <w:u w:val="single" w:color="000000"/>
        </w:rPr>
        <w:t>Level (1) of the hierarchy of simplifications: approximate the individual risks</w:t>
      </w:r>
      <w:r w:rsidRPr="00A10663">
        <w:t xml:space="preserve"> </w:t>
      </w:r>
      <w:r w:rsidRPr="00A10663">
        <w:rPr>
          <w:u w:val="single" w:color="000000"/>
        </w:rPr>
        <w:t>or sub-risks within some or all modules and sub-modules to be used for the</w:t>
      </w:r>
      <w:r w:rsidRPr="00A10663">
        <w:t xml:space="preserve"> </w:t>
      </w:r>
      <w:r w:rsidRPr="00A10663">
        <w:rPr>
          <w:u w:val="single" w:color="000000"/>
        </w:rPr>
        <w:t>calculation of future SCRs</w:t>
      </w:r>
      <w:r w:rsidRPr="00A10663">
        <w:t xml:space="preserve"> </w:t>
      </w:r>
    </w:p>
    <w:p w14:paraId="79649435" w14:textId="062BD0DA" w:rsidR="002B3376" w:rsidRPr="00A10663" w:rsidRDefault="000C4AB1" w:rsidP="00BD6C7D">
      <w:pPr>
        <w:ind w:left="1080" w:right="204" w:firstLine="0"/>
      </w:pPr>
      <w:r w:rsidRPr="00A10663">
        <w:t xml:space="preserve">Application of the </w:t>
      </w:r>
      <m:oMath>
        <m:sSup>
          <m:sSupPr>
            <m:ctrlPr>
              <w:rPr>
                <w:rFonts w:ascii="Cambria Math" w:hAnsi="Cambria Math"/>
                <w:i/>
              </w:rPr>
            </m:ctrlPr>
          </m:sSupPr>
          <m:e>
            <m:r>
              <w:rPr>
                <w:rFonts w:ascii="Cambria Math" w:hAnsi="Cambria Math"/>
              </w:rPr>
              <m:t>λ</m:t>
            </m:r>
          </m:e>
          <m:sup>
            <m:r>
              <w:rPr>
                <w:rFonts w:ascii="Cambria Math" w:hAnsi="Cambria Math"/>
              </w:rPr>
              <m:t>t</m:t>
            </m:r>
          </m:sup>
        </m:sSup>
      </m:oMath>
      <w:r w:rsidRPr="00A10663">
        <w:t xml:space="preserve"> parameter for each future SCR, as defined for the full calculation. </w:t>
      </w:r>
    </w:p>
    <w:p w14:paraId="22969CF5" w14:textId="7D768CE9" w:rsidR="002B3376" w:rsidRPr="00A10663" w:rsidRDefault="000C4AB1" w:rsidP="00BD6C7D">
      <w:pPr>
        <w:numPr>
          <w:ilvl w:val="1"/>
          <w:numId w:val="18"/>
        </w:numPr>
        <w:spacing w:after="137" w:line="250" w:lineRule="auto"/>
        <w:ind w:right="196" w:hanging="360"/>
      </w:pPr>
      <w:r w:rsidRPr="00A10663">
        <w:rPr>
          <w:u w:val="single"/>
        </w:rPr>
        <w:t>Level (2) of the hierarchy of simplifications: approximate the whole SCR for</w:t>
      </w:r>
      <w:r w:rsidRPr="00A10663">
        <w:t xml:space="preserve"> </w:t>
      </w:r>
      <w:r w:rsidRPr="00A10663">
        <w:rPr>
          <w:u w:val="single"/>
        </w:rPr>
        <w:t>each future year, e.g. by using a proportional approach</w:t>
      </w:r>
      <w:r w:rsidRPr="00A10663">
        <w:t xml:space="preserve"> </w:t>
      </w:r>
    </w:p>
    <w:p w14:paraId="07102578" w14:textId="2E08798C" w:rsidR="002B3376" w:rsidRPr="00A10663" w:rsidRDefault="000C4AB1" w:rsidP="00BD6C7D">
      <w:pPr>
        <w:ind w:left="1080" w:right="204" w:firstLine="0"/>
      </w:pPr>
      <w:r w:rsidRPr="00A10663">
        <w:t xml:space="preserve">Application of the </w:t>
      </w:r>
      <m:oMath>
        <m:sSup>
          <m:sSupPr>
            <m:ctrlPr>
              <w:rPr>
                <w:rFonts w:ascii="Cambria Math" w:hAnsi="Cambria Math"/>
                <w:i/>
              </w:rPr>
            </m:ctrlPr>
          </m:sSupPr>
          <m:e>
            <m:r>
              <w:rPr>
                <w:rFonts w:ascii="Cambria Math" w:hAnsi="Cambria Math"/>
              </w:rPr>
              <m:t>λ</m:t>
            </m:r>
          </m:e>
          <m:sup>
            <m:r>
              <w:rPr>
                <w:rFonts w:ascii="Cambria Math" w:hAnsi="Cambria Math"/>
              </w:rPr>
              <m:t>t</m:t>
            </m:r>
          </m:sup>
        </m:sSup>
        <m:r>
          <w:rPr>
            <w:rFonts w:eastAsia="Cambria Math" w:cs="Cambria Math"/>
          </w:rPr>
          <m:t xml:space="preserve"> </m:t>
        </m:r>
      </m:oMath>
      <w:r w:rsidRPr="00A10663">
        <w:t xml:space="preserve">parameter for each future SCR, as defined for the full calculation. </w:t>
      </w:r>
    </w:p>
    <w:p w14:paraId="15D6BC95" w14:textId="5A60DA83" w:rsidR="002B3376" w:rsidRPr="00A10663" w:rsidRDefault="000C4AB1" w:rsidP="00BD6C7D">
      <w:pPr>
        <w:numPr>
          <w:ilvl w:val="1"/>
          <w:numId w:val="18"/>
        </w:numPr>
        <w:spacing w:after="137" w:line="250" w:lineRule="auto"/>
        <w:ind w:right="196" w:hanging="360"/>
      </w:pPr>
      <w:r w:rsidRPr="00A10663">
        <w:rPr>
          <w:u w:val="single" w:color="000000"/>
        </w:rPr>
        <w:t>Level (3) of the hierarchy of simplifications: estimate all future SCRs “at once”,</w:t>
      </w:r>
      <w:r w:rsidRPr="00A10663">
        <w:t xml:space="preserve"> </w:t>
      </w:r>
      <w:r w:rsidRPr="00A10663">
        <w:rPr>
          <w:u w:val="single"/>
        </w:rPr>
        <w:t>e.g. by using an approximation based on the duration approach</w:t>
      </w:r>
      <w:r w:rsidRPr="00A10663">
        <w:t xml:space="preserve"> </w:t>
      </w:r>
    </w:p>
    <w:p w14:paraId="32B2FF7B" w14:textId="61C0CA26" w:rsidR="00081FA0" w:rsidRPr="00A10663" w:rsidRDefault="00081FA0" w:rsidP="00BD6C7D">
      <w:pPr>
        <w:spacing w:after="137" w:line="250" w:lineRule="auto"/>
        <w:ind w:left="1065" w:right="196" w:firstLine="0"/>
      </w:pPr>
      <w:r w:rsidRPr="00A10663">
        <w:t xml:space="preserve">Multiply the amount obtained with the simplification by a parameter </w:t>
      </w:r>
      <m:oMath>
        <m:sSup>
          <m:sSupPr>
            <m:ctrlPr>
              <w:rPr>
                <w:rFonts w:ascii="Cambria Math" w:hAnsi="Cambria Math"/>
                <w:i/>
              </w:rPr>
            </m:ctrlPr>
          </m:sSupPr>
          <m:e>
            <m:r>
              <w:rPr>
                <w:rFonts w:ascii="Cambria Math" w:hAnsi="Cambria Math"/>
              </w:rPr>
              <m:t>λ</m:t>
            </m:r>
          </m:e>
          <m:sup>
            <m:f>
              <m:fPr>
                <m:ctrlPr>
                  <w:rPr>
                    <w:rFonts w:ascii="Cambria Math" w:hAnsi="Cambria Math"/>
                    <w:i/>
                  </w:rPr>
                </m:ctrlPr>
              </m:fPr>
              <m:num>
                <m:r>
                  <w:rPr>
                    <w:rFonts w:ascii="Cambria Math" w:hAnsi="Cambria Math"/>
                  </w:rPr>
                  <m:t>Duration</m:t>
                </m:r>
              </m:num>
              <m:den>
                <m:r>
                  <w:rPr>
                    <w:rFonts w:ascii="Cambria Math" w:hAnsi="Cambria Math"/>
                  </w:rPr>
                  <m:t>2</m:t>
                </m:r>
              </m:den>
            </m:f>
          </m:sup>
        </m:sSup>
      </m:oMath>
      <w:r w:rsidRPr="00A10663">
        <w:t>.</w:t>
      </w:r>
    </w:p>
    <w:p w14:paraId="4A415E2A" w14:textId="77AABC82" w:rsidR="002B3376" w:rsidRPr="00A10663" w:rsidRDefault="000C4AB1" w:rsidP="00BD6C7D">
      <w:pPr>
        <w:numPr>
          <w:ilvl w:val="1"/>
          <w:numId w:val="18"/>
        </w:numPr>
        <w:spacing w:after="137" w:line="250" w:lineRule="auto"/>
        <w:ind w:right="196" w:hanging="360"/>
      </w:pPr>
      <w:r w:rsidRPr="00A10663">
        <w:rPr>
          <w:u w:val="single" w:color="000000"/>
        </w:rPr>
        <w:t>Level (4) of the hierarchy of simplifications: approximate the risk margin by</w:t>
      </w:r>
      <w:r w:rsidRPr="00A10663">
        <w:t xml:space="preserve"> </w:t>
      </w:r>
      <w:r w:rsidRPr="00A10663">
        <w:rPr>
          <w:u w:val="single" w:color="000000"/>
        </w:rPr>
        <w:t>calculating it as a percentage of the best estimate</w:t>
      </w:r>
      <w:r w:rsidRPr="00A10663">
        <w:t xml:space="preserve"> </w:t>
      </w:r>
    </w:p>
    <w:p w14:paraId="48C64926" w14:textId="77777777" w:rsidR="002B3376" w:rsidRPr="00A10663" w:rsidRDefault="000C4AB1" w:rsidP="00BD6C7D">
      <w:pPr>
        <w:ind w:left="1080" w:right="204" w:firstLine="0"/>
      </w:pPr>
      <w:r w:rsidRPr="00A10663">
        <w:t xml:space="preserve">Multiply the amount obtained with the simplification by a parameter </w:t>
      </w:r>
      <w:r w:rsidRPr="00A10663">
        <w:rPr>
          <w:rFonts w:eastAsia="Cambria Math" w:cs="Cambria Math"/>
        </w:rPr>
        <w:t>𝜆</w:t>
      </w:r>
      <w:r w:rsidRPr="00A10663">
        <w:rPr>
          <w:rFonts w:eastAsia="Cambria Math" w:cs="Cambria Math"/>
          <w:vertAlign w:val="superscript"/>
        </w:rPr>
        <w:t>1</w:t>
      </w:r>
      <w:r w:rsidRPr="00A10663">
        <w:t xml:space="preserve">. </w:t>
      </w:r>
    </w:p>
    <w:p w14:paraId="79F1131D" w14:textId="309498E6" w:rsidR="002B3376" w:rsidRPr="00A10663" w:rsidRDefault="000C4AB1" w:rsidP="00BD6C7D">
      <w:pPr>
        <w:numPr>
          <w:ilvl w:val="0"/>
          <w:numId w:val="5"/>
        </w:numPr>
        <w:ind w:right="204" w:hanging="566"/>
      </w:pPr>
      <w:r w:rsidRPr="00A10663">
        <w:t xml:space="preserve">These simplifications above should only be used if they are currently used by the undertaking and </w:t>
      </w:r>
      <w:r w:rsidR="00501DC6" w:rsidRPr="00A10663">
        <w:t xml:space="preserve">are </w:t>
      </w:r>
      <w:r w:rsidRPr="00A10663">
        <w:t xml:space="preserve">considered appropriate simplifications. </w:t>
      </w:r>
    </w:p>
    <w:p w14:paraId="689315E4" w14:textId="351C7A8B" w:rsidR="002B3376" w:rsidRPr="00A10663" w:rsidRDefault="000C4AB1" w:rsidP="00BD6C7D">
      <w:pPr>
        <w:numPr>
          <w:ilvl w:val="0"/>
          <w:numId w:val="5"/>
        </w:numPr>
        <w:spacing w:after="113"/>
        <w:ind w:right="204" w:hanging="566"/>
      </w:pPr>
      <w:r w:rsidRPr="00A10663">
        <w:t>In addition to the recalculated risk margin, participants are requested to report</w:t>
      </w:r>
      <w:r w:rsidR="009964BF" w:rsidRPr="00A10663">
        <w:t xml:space="preserve"> in sheet “</w:t>
      </w:r>
      <w:r w:rsidR="004C28EC" w:rsidRPr="00A10663">
        <w:t>Risk Margin</w:t>
      </w:r>
      <w:r w:rsidR="009964BF" w:rsidRPr="00A10663">
        <w:t>”</w:t>
      </w:r>
      <w:r w:rsidRPr="00A10663">
        <w:t xml:space="preserve"> the value of the future SCR amounts (</w:t>
      </w:r>
      <w:r w:rsidRPr="00A10663">
        <w:rPr>
          <w:rFonts w:eastAsia="Cambria Math" w:cs="Cambria Math"/>
        </w:rPr>
        <w:t>𝑆𝐶𝑅(𝑡)</w:t>
      </w:r>
      <w:r w:rsidRPr="00A10663">
        <w:t xml:space="preserve">) which were used as a basis to calculate the risk margin in the calculation, as well as the corresponding duration of insurance liabilities. The template sets different granularity of the information request depending on the methodology applied by the undertaking. </w:t>
      </w:r>
    </w:p>
    <w:p w14:paraId="77ED34B1" w14:textId="5C14F1FB" w:rsidR="002B3376" w:rsidRPr="00A10663" w:rsidRDefault="002B3376" w:rsidP="00BD6C7D">
      <w:pPr>
        <w:spacing w:after="153" w:line="259" w:lineRule="auto"/>
        <w:ind w:left="0" w:firstLine="0"/>
        <w:jc w:val="left"/>
      </w:pPr>
    </w:p>
    <w:p w14:paraId="620B6D33" w14:textId="0DA17261" w:rsidR="002B3376" w:rsidRPr="00A10663" w:rsidRDefault="00530398" w:rsidP="00805F28">
      <w:pPr>
        <w:pStyle w:val="Heading3"/>
        <w:ind w:left="0"/>
      </w:pPr>
      <w:bookmarkStart w:id="17" w:name="_Toc190205701"/>
      <w:bookmarkStart w:id="18" w:name="_Toc190338550"/>
      <w:r w:rsidRPr="00A10663">
        <w:lastRenderedPageBreak/>
        <w:t>3</w:t>
      </w:r>
      <w:r w:rsidR="000C4AB1" w:rsidRPr="00A10663">
        <w:t>.</w:t>
      </w:r>
      <w:r w:rsidR="008D2B6D" w:rsidRPr="00A10663">
        <w:t>3</w:t>
      </w:r>
      <w:r w:rsidR="000C4AB1" w:rsidRPr="00A10663">
        <w:t>.</w:t>
      </w:r>
      <w:r w:rsidR="000C4AB1" w:rsidRPr="00A10663">
        <w:rPr>
          <w:rFonts w:eastAsia="Arial" w:cs="Arial"/>
        </w:rPr>
        <w:t xml:space="preserve"> </w:t>
      </w:r>
      <w:r w:rsidR="000C4AB1" w:rsidRPr="00A10663">
        <w:t>Solvency Capital Requirement</w:t>
      </w:r>
      <w:bookmarkEnd w:id="17"/>
      <w:bookmarkEnd w:id="18"/>
      <w:r w:rsidR="000C4AB1" w:rsidRPr="00A10663">
        <w:t xml:space="preserve"> </w:t>
      </w:r>
    </w:p>
    <w:p w14:paraId="6B6923F4" w14:textId="6A7681B7" w:rsidR="002B3376" w:rsidRPr="00A10663" w:rsidRDefault="00530398" w:rsidP="00805F28">
      <w:pPr>
        <w:pStyle w:val="Heading4"/>
        <w:spacing w:after="257"/>
        <w:ind w:left="0"/>
      </w:pPr>
      <w:bookmarkStart w:id="19" w:name="_Ref188905175"/>
      <w:r w:rsidRPr="00A10663">
        <w:t>3</w:t>
      </w:r>
      <w:r w:rsidR="000C4AB1" w:rsidRPr="00A10663">
        <w:t>.</w:t>
      </w:r>
      <w:r w:rsidR="008D2B6D" w:rsidRPr="00A10663">
        <w:t>3</w:t>
      </w:r>
      <w:r w:rsidR="000C4AB1" w:rsidRPr="00A10663">
        <w:t>.1.</w:t>
      </w:r>
      <w:r w:rsidR="000C4AB1" w:rsidRPr="00A10663">
        <w:rPr>
          <w:rFonts w:eastAsia="Arial" w:cs="Arial"/>
        </w:rPr>
        <w:t xml:space="preserve"> </w:t>
      </w:r>
      <w:r w:rsidR="000C4AB1" w:rsidRPr="00A10663">
        <w:t>Standard formula</w:t>
      </w:r>
      <w:bookmarkEnd w:id="19"/>
      <w:r w:rsidR="000C4AB1" w:rsidRPr="00A10663">
        <w:t xml:space="preserve"> </w:t>
      </w:r>
    </w:p>
    <w:p w14:paraId="2193D13E" w14:textId="16EBB414" w:rsidR="00B676E2" w:rsidRPr="00A10663" w:rsidRDefault="00B676E2" w:rsidP="00BD6C7D">
      <w:pPr>
        <w:numPr>
          <w:ilvl w:val="0"/>
          <w:numId w:val="5"/>
        </w:numPr>
        <w:spacing w:after="113"/>
        <w:ind w:right="204" w:hanging="566"/>
      </w:pPr>
      <w:r w:rsidRPr="00A10663">
        <w:t>This section is relevant to insurers using the standard formula to calculate the</w:t>
      </w:r>
      <w:r w:rsidR="00B01A9B" w:rsidRPr="00A10663">
        <w:t xml:space="preserve"> SCR.</w:t>
      </w:r>
      <w:r w:rsidRPr="00A10663">
        <w:t xml:space="preserve"> </w:t>
      </w:r>
      <w:r w:rsidR="00ED4402" w:rsidRPr="00A10663">
        <w:t xml:space="preserve">Internal model insurers are invited to, on a voluntary basis, also </w:t>
      </w:r>
      <w:r w:rsidR="003E05E1" w:rsidRPr="00A10663">
        <w:t>provide standard formula figures.</w:t>
      </w:r>
    </w:p>
    <w:p w14:paraId="086F1C18" w14:textId="77777777" w:rsidR="00357D45" w:rsidRPr="00A10663" w:rsidRDefault="00357D45" w:rsidP="00880236">
      <w:pPr>
        <w:ind w:left="0" w:firstLine="0"/>
      </w:pPr>
    </w:p>
    <w:p w14:paraId="6ED9EB5C" w14:textId="46B2882E" w:rsidR="009929F0" w:rsidRPr="00A10663" w:rsidRDefault="009929F0" w:rsidP="00BD6C7D">
      <w:pPr>
        <w:pStyle w:val="Heading5"/>
      </w:pPr>
      <w:r w:rsidRPr="00A10663">
        <w:t>3.3.1.1 Interest rate risk calibration</w:t>
      </w:r>
    </w:p>
    <w:p w14:paraId="523EBAC6" w14:textId="31E940A4" w:rsidR="009929F0" w:rsidRPr="00A10663" w:rsidRDefault="000C4AB1" w:rsidP="00BD6C7D">
      <w:pPr>
        <w:numPr>
          <w:ilvl w:val="0"/>
          <w:numId w:val="5"/>
        </w:numPr>
        <w:spacing w:after="113"/>
        <w:ind w:right="204" w:hanging="566"/>
      </w:pPr>
      <w:r w:rsidRPr="00A10663">
        <w:t xml:space="preserve">The interest rate risk sub-module should be calculated based on the interest rate shocks for </w:t>
      </w:r>
      <w:r w:rsidR="00D92464" w:rsidRPr="00A10663">
        <w:t>the expected new regime</w:t>
      </w:r>
      <w:r w:rsidRPr="00A10663">
        <w:t xml:space="preserve"> set out in the file </w:t>
      </w:r>
      <w:r w:rsidR="00AC6511" w:rsidRPr="00A10663">
        <w:rPr>
          <w:b/>
          <w:bCs/>
        </w:rPr>
        <w:t>“</w:t>
      </w:r>
      <w:r w:rsidRPr="00A10663">
        <w:rPr>
          <w:b/>
          <w:bCs/>
        </w:rPr>
        <w:t>Technical Information</w:t>
      </w:r>
      <w:r w:rsidR="00AC6511" w:rsidRPr="00A10663">
        <w:rPr>
          <w:b/>
          <w:bCs/>
        </w:rPr>
        <w:t>”</w:t>
      </w:r>
      <w:r w:rsidR="00F868BD" w:rsidRPr="00A10663">
        <w:t xml:space="preserve">. </w:t>
      </w:r>
      <w:r w:rsidRPr="00A10663">
        <w:t xml:space="preserve">The shocks are derived </w:t>
      </w:r>
      <w:r w:rsidR="00016E01" w:rsidRPr="00A10663">
        <w:t xml:space="preserve">in accordance with our best estimate </w:t>
      </w:r>
      <w:r w:rsidR="00C04F91" w:rsidRPr="00A10663">
        <w:t xml:space="preserve">view </w:t>
      </w:r>
      <w:r w:rsidR="00016E01" w:rsidRPr="00A10663">
        <w:t xml:space="preserve">of the expected new regime. This corresponds with a </w:t>
      </w:r>
      <w:r w:rsidR="00337319" w:rsidRPr="00A10663">
        <w:t xml:space="preserve">relative </w:t>
      </w:r>
      <w:r w:rsidR="00531886" w:rsidRPr="00A10663">
        <w:t>shift approach</w:t>
      </w:r>
      <w:r w:rsidR="00016E01" w:rsidRPr="00A10663">
        <w:t xml:space="preserve"> </w:t>
      </w:r>
      <w:r w:rsidR="00115126" w:rsidRPr="00A10663">
        <w:t>(as in Section 5.1 of the EIOPA opinion</w:t>
      </w:r>
      <w:r w:rsidR="00115126" w:rsidRPr="00A10663">
        <w:rPr>
          <w:rStyle w:val="FootnoteReference"/>
        </w:rPr>
        <w:footnoteReference w:id="15"/>
      </w:r>
      <w:r w:rsidR="00077FBE" w:rsidRPr="00A10663">
        <w:t xml:space="preserve"> but with different parameters</w:t>
      </w:r>
      <w:r w:rsidR="00115126" w:rsidRPr="00A10663">
        <w:t>)</w:t>
      </w:r>
      <w:r w:rsidR="6989C358" w:rsidRPr="00A10663">
        <w:t xml:space="preserve">, combined with an extrapolation of the </w:t>
      </w:r>
      <w:r w:rsidR="01C191DB" w:rsidRPr="00A10663">
        <w:t xml:space="preserve">shocked </w:t>
      </w:r>
      <w:r w:rsidR="6989C358" w:rsidRPr="00A10663">
        <w:t xml:space="preserve">curve, </w:t>
      </w:r>
      <w:r w:rsidR="60B32BCE" w:rsidRPr="00A10663">
        <w:t xml:space="preserve">in </w:t>
      </w:r>
      <w:r w:rsidR="0094149D" w:rsidRPr="00A10663">
        <w:t>which</w:t>
      </w:r>
      <w:r w:rsidR="0007362D" w:rsidRPr="00A10663">
        <w:t xml:space="preserve"> a</w:t>
      </w:r>
      <w:r w:rsidR="00013B1B" w:rsidRPr="00A10663">
        <w:t>lso the last liquid forward rate</w:t>
      </w:r>
      <w:r w:rsidR="0007362D" w:rsidRPr="00A10663">
        <w:t xml:space="preserve"> and UFR</w:t>
      </w:r>
      <w:r w:rsidR="00013B1B" w:rsidRPr="00A10663">
        <w:t xml:space="preserve"> used in the alternative extrapolation method</w:t>
      </w:r>
      <w:r w:rsidR="5EF2B20B" w:rsidRPr="00A10663">
        <w:t xml:space="preserve"> are stressed</w:t>
      </w:r>
      <w:r w:rsidR="00013B1B" w:rsidRPr="00A10663">
        <w:t>.</w:t>
      </w:r>
      <w:r w:rsidR="00016E01" w:rsidRPr="00A10663">
        <w:t xml:space="preserve"> </w:t>
      </w:r>
    </w:p>
    <w:p w14:paraId="52B1D911" w14:textId="4FBA7191" w:rsidR="00386557" w:rsidRPr="00A10663" w:rsidRDefault="001B7AE6" w:rsidP="00BD6C7D">
      <w:pPr>
        <w:numPr>
          <w:ilvl w:val="0"/>
          <w:numId w:val="5"/>
        </w:numPr>
        <w:spacing w:after="113"/>
        <w:ind w:right="204" w:hanging="566"/>
      </w:pPr>
      <w:r w:rsidRPr="00A10663">
        <w:t xml:space="preserve">Although </w:t>
      </w:r>
      <w:r w:rsidR="579F9117" w:rsidRPr="00A10663">
        <w:t xml:space="preserve">uncertainty </w:t>
      </w:r>
      <w:r w:rsidRPr="00A10663">
        <w:t xml:space="preserve">remains regarding the valuation of assets in </w:t>
      </w:r>
      <w:r w:rsidR="0007362D" w:rsidRPr="00A10663">
        <w:t xml:space="preserve">the </w:t>
      </w:r>
      <w:r w:rsidRPr="00A10663">
        <w:t xml:space="preserve">context of calculating the capital charge </w:t>
      </w:r>
      <w:r w:rsidR="0007362D" w:rsidRPr="00A10663">
        <w:t xml:space="preserve">for </w:t>
      </w:r>
      <w:r w:rsidRPr="00A10663">
        <w:t xml:space="preserve">interest rate risk, undertakings are asked to perform this valuation </w:t>
      </w:r>
      <w:r w:rsidR="0007362D" w:rsidRPr="00A10663">
        <w:t>in line</w:t>
      </w:r>
      <w:r w:rsidR="003C09CF" w:rsidRPr="00A10663">
        <w:t xml:space="preserve"> with</w:t>
      </w:r>
      <w:r w:rsidR="32AA7530" w:rsidRPr="00A10663">
        <w:t xml:space="preserve"> the approach that is currently used</w:t>
      </w:r>
      <w:r w:rsidR="003C09CF" w:rsidRPr="00A10663">
        <w:t xml:space="preserve"> </w:t>
      </w:r>
      <w:r w:rsidR="3C273C3C" w:rsidRPr="00A10663">
        <w:t xml:space="preserve">(see </w:t>
      </w:r>
      <w:r w:rsidR="003C09CF" w:rsidRPr="00A10663">
        <w:t>the EIOPA answer on Q&amp;A 326</w:t>
      </w:r>
      <w:r w:rsidR="0094149D" w:rsidRPr="00A10663">
        <w:rPr>
          <w:rStyle w:val="FootnoteReference"/>
        </w:rPr>
        <w:footnoteReference w:id="16"/>
      </w:r>
      <w:r w:rsidR="009D57BF" w:rsidRPr="00A10663">
        <w:t>)</w:t>
      </w:r>
      <w:r w:rsidR="003C09CF" w:rsidRPr="00A10663">
        <w:t>.</w:t>
      </w:r>
      <w:r w:rsidRPr="00A10663">
        <w:t xml:space="preserve">  </w:t>
      </w:r>
    </w:p>
    <w:p w14:paraId="3A615E37" w14:textId="4D1E8D59" w:rsidR="002B3376" w:rsidRPr="00A10663" w:rsidRDefault="002B3376" w:rsidP="00BD6C7D">
      <w:pPr>
        <w:ind w:left="0" w:firstLine="0"/>
      </w:pPr>
    </w:p>
    <w:p w14:paraId="446827B7" w14:textId="1A7F005D" w:rsidR="002B3376" w:rsidRPr="00A10663" w:rsidRDefault="00530398" w:rsidP="00805F28">
      <w:pPr>
        <w:pStyle w:val="Heading5"/>
        <w:tabs>
          <w:tab w:val="center" w:pos="4502"/>
        </w:tabs>
        <w:ind w:left="0" w:firstLine="0"/>
      </w:pPr>
      <w:r w:rsidRPr="00A10663">
        <w:t>3</w:t>
      </w:r>
      <w:r w:rsidR="000C4AB1" w:rsidRPr="00A10663">
        <w:t>.</w:t>
      </w:r>
      <w:r w:rsidR="008D2B6D" w:rsidRPr="00A10663">
        <w:t>3</w:t>
      </w:r>
      <w:r w:rsidR="000C4AB1" w:rsidRPr="00A10663">
        <w:t>.1.2.</w:t>
      </w:r>
      <w:r w:rsidR="000C4AB1" w:rsidRPr="00A10663">
        <w:rPr>
          <w:rFonts w:eastAsia="Arial" w:cs="Arial"/>
        </w:rPr>
        <w:t xml:space="preserve"> </w:t>
      </w:r>
      <w:r w:rsidR="000C4AB1" w:rsidRPr="00A10663">
        <w:t xml:space="preserve">Correlation between spread and interest rate risk  </w:t>
      </w:r>
    </w:p>
    <w:p w14:paraId="6AC8791C" w14:textId="02EF198E" w:rsidR="002B3376" w:rsidRPr="00A10663" w:rsidRDefault="000C4AB1" w:rsidP="00BD6C7D">
      <w:pPr>
        <w:numPr>
          <w:ilvl w:val="0"/>
          <w:numId w:val="5"/>
        </w:numPr>
        <w:spacing w:after="113"/>
        <w:ind w:right="204" w:hanging="566"/>
      </w:pPr>
      <w:r w:rsidRPr="00A10663">
        <w:t>The SCR standard formula correlation parameter for interest rate risk (downward shock) and spread risk should be set to 0.25 instead of 0.5. The parameter for interest rate risk (upward shock) and spread risk should stay at 0. All other correlation parameters remain unchanged. In particular, the two-sided correlation in the market risk module according to Art. 164 Delegated Regulation remain</w:t>
      </w:r>
      <w:r w:rsidR="00EA5202" w:rsidRPr="00A10663">
        <w:t>s</w:t>
      </w:r>
      <w:r w:rsidRPr="00A10663">
        <w:t xml:space="preserve"> unchanged.  </w:t>
      </w:r>
    </w:p>
    <w:p w14:paraId="345C4DA5" w14:textId="77777777" w:rsidR="00324FEB" w:rsidRPr="00A10663" w:rsidRDefault="00324FEB" w:rsidP="00BD6C7D">
      <w:pPr>
        <w:spacing w:after="113"/>
        <w:ind w:left="0" w:right="204" w:firstLine="0"/>
      </w:pPr>
    </w:p>
    <w:p w14:paraId="27DB1B03" w14:textId="211E41A3" w:rsidR="002B3376" w:rsidRPr="00A10663" w:rsidRDefault="00B676E2" w:rsidP="00BD6C7D">
      <w:pPr>
        <w:pStyle w:val="Heading5"/>
      </w:pPr>
      <w:r w:rsidRPr="00A10663">
        <w:t>3</w:t>
      </w:r>
      <w:r w:rsidR="000C4AB1" w:rsidRPr="00A10663">
        <w:t>.</w:t>
      </w:r>
      <w:r w:rsidRPr="00A10663">
        <w:t>3</w:t>
      </w:r>
      <w:r w:rsidR="000C4AB1" w:rsidRPr="00A10663">
        <w:t>.1.3.</w:t>
      </w:r>
      <w:r w:rsidR="000C4AB1" w:rsidRPr="00A10663">
        <w:rPr>
          <w:rFonts w:eastAsia="Arial" w:cs="Arial"/>
        </w:rPr>
        <w:t xml:space="preserve"> </w:t>
      </w:r>
      <w:r w:rsidR="000C4AB1" w:rsidRPr="00A10663">
        <w:t xml:space="preserve">Forborne and defaulted loans  </w:t>
      </w:r>
    </w:p>
    <w:p w14:paraId="1BA8150A" w14:textId="0E919010" w:rsidR="002B3376" w:rsidRPr="00A10663" w:rsidRDefault="000C4AB1" w:rsidP="00BD6C7D">
      <w:pPr>
        <w:numPr>
          <w:ilvl w:val="0"/>
          <w:numId w:val="5"/>
        </w:numPr>
        <w:spacing w:after="113"/>
        <w:ind w:right="204" w:hanging="566"/>
      </w:pPr>
      <w:r w:rsidRPr="00A10663">
        <w:t xml:space="preserve">Forborne and defaulted loans for which a credit assessment by a nominated ECAI is not available should not be included in the spread risk sub-module of the standard formula. Instead their credit risk should be captured in the counterparty default risk module as type 2 exposures. For that purpose the loss given default of forborne and defaulted loans should be calculated as follows: </w:t>
      </w:r>
    </w:p>
    <w:p w14:paraId="1A3BD709" w14:textId="039F3C2C" w:rsidR="002B3376" w:rsidRPr="00A10663" w:rsidRDefault="000C4AB1" w:rsidP="00BD6C7D">
      <w:pPr>
        <w:spacing w:after="74" w:line="259" w:lineRule="auto"/>
        <w:ind w:left="566" w:firstLine="0"/>
        <w:jc w:val="left"/>
      </w:pPr>
      <w:r w:rsidRPr="00A10663">
        <w:t xml:space="preserve"> </w:t>
      </w:r>
    </w:p>
    <w:p w14:paraId="04B522CE" w14:textId="5E1D901A" w:rsidR="002B3376" w:rsidRPr="00A10663" w:rsidRDefault="000C4AB1" w:rsidP="00BD6C7D">
      <w:pPr>
        <w:spacing w:after="112" w:line="259" w:lineRule="auto"/>
        <w:ind w:left="1418" w:right="1622" w:hanging="10"/>
        <w:jc w:val="center"/>
      </w:pPr>
      <w:r w:rsidRPr="00A10663">
        <w:t xml:space="preserve">LGD= </w:t>
      </w:r>
      <w:r w:rsidRPr="00A10663">
        <w:rPr>
          <w:rFonts w:eastAsia="Cambria Math" w:cs="Cambria Math"/>
        </w:rPr>
        <w:t xml:space="preserve">6.67 </w:t>
      </w:r>
      <w:r w:rsidRPr="00A10663">
        <w:rPr>
          <w:rFonts w:eastAsia="Cambria Math" w:cs="Cambria Math"/>
          <w:sz w:val="28"/>
          <w:szCs w:val="28"/>
        </w:rPr>
        <w:t xml:space="preserve">⋅ </w:t>
      </w:r>
      <w:r w:rsidRPr="00A10663">
        <w:rPr>
          <w:rFonts w:eastAsia="Cambria Math" w:cs="Cambria Math"/>
        </w:rPr>
        <w:t xml:space="preserve">𝑚𝑎𝑥(𝐿𝑜𝑎𝑛 𝑣𝑎𝑙𝑢𝑒 − 𝑅𝑒𝑐𝑜𝑣𝑒𝑟𝑎𝑏𝑙𝑒𝑠; 36% </w:t>
      </w:r>
      <w:r w:rsidRPr="00A10663">
        <w:rPr>
          <w:rFonts w:eastAsia="Cambria Math" w:cs="Cambria Math"/>
          <w:sz w:val="28"/>
          <w:szCs w:val="28"/>
        </w:rPr>
        <w:t xml:space="preserve">⋅ </w:t>
      </w:r>
      <w:r w:rsidRPr="00A10663">
        <w:rPr>
          <w:rFonts w:eastAsia="Cambria Math" w:cs="Cambria Math"/>
        </w:rPr>
        <w:t>𝐿𝑜𝑎𝑛 𝑣𝑎𝑙𝑢𝑒);</w:t>
      </w:r>
      <w:r w:rsidRPr="00A10663">
        <w:t xml:space="preserve"> </w:t>
      </w:r>
    </w:p>
    <w:p w14:paraId="3404E498" w14:textId="192C25BB" w:rsidR="002B3376" w:rsidRPr="00A10663" w:rsidRDefault="000C4AB1" w:rsidP="00BD6C7D">
      <w:pPr>
        <w:spacing w:after="201"/>
        <w:ind w:left="720" w:right="204" w:firstLine="0"/>
      </w:pPr>
      <w:r w:rsidRPr="00A10663">
        <w:t xml:space="preserve">where </w:t>
      </w:r>
    </w:p>
    <w:p w14:paraId="3AC2780E" w14:textId="28E04384" w:rsidR="002B3376" w:rsidRPr="00A10663" w:rsidRDefault="000C4AB1" w:rsidP="00BD6C7D">
      <w:pPr>
        <w:numPr>
          <w:ilvl w:val="1"/>
          <w:numId w:val="22"/>
        </w:numPr>
        <w:spacing w:after="201"/>
        <w:ind w:right="204" w:hanging="360"/>
      </w:pPr>
      <w:r w:rsidRPr="00A10663">
        <w:rPr>
          <w:rFonts w:eastAsia="Cambria Math" w:cs="Cambria Math"/>
        </w:rPr>
        <w:lastRenderedPageBreak/>
        <w:t>𝐿𝑜𝑎𝑛 𝑣𝑎𝑙𝑢𝑒</w:t>
      </w:r>
      <w:r w:rsidRPr="00A10663">
        <w:t xml:space="preserve"> denotes the value of the loan in accordance with Article 75 of the Solvency II Directive; </w:t>
      </w:r>
      <w:r w:rsidR="00323013" w:rsidRPr="00A10663">
        <w:t>and</w:t>
      </w:r>
    </w:p>
    <w:p w14:paraId="51848CF3" w14:textId="65EDF488" w:rsidR="002B3376" w:rsidRPr="00A10663" w:rsidRDefault="000C4AB1" w:rsidP="00BD6C7D">
      <w:pPr>
        <w:numPr>
          <w:ilvl w:val="1"/>
          <w:numId w:val="22"/>
        </w:numPr>
        <w:spacing w:after="200"/>
        <w:ind w:right="204" w:hanging="360"/>
      </w:pPr>
      <w:r w:rsidRPr="00A10663">
        <w:rPr>
          <w:rFonts w:eastAsia="Cambria Math" w:cs="Cambria Math"/>
        </w:rPr>
        <w:t>𝑅𝑒𝑐𝑜𝑣𝑒𝑟𝑎𝑏𝑙𝑒𝑠</w:t>
      </w:r>
      <w:r w:rsidRPr="00A10663">
        <w:t xml:space="preserve"> denotes the </w:t>
      </w:r>
      <w:proofErr w:type="spellStart"/>
      <w:r w:rsidRPr="00A10663">
        <w:t>actualised</w:t>
      </w:r>
      <w:proofErr w:type="spellEnd"/>
      <w:r w:rsidRPr="00A10663">
        <w:t xml:space="preserve"> value of the debt recoveries calculated according to the chapter 6 of the EBA guidelines EBA/GL/2017/16. </w:t>
      </w:r>
    </w:p>
    <w:p w14:paraId="65201447" w14:textId="29DFB7A6" w:rsidR="002B3376" w:rsidRPr="00A10663" w:rsidRDefault="000C4AB1" w:rsidP="00BD6C7D">
      <w:pPr>
        <w:numPr>
          <w:ilvl w:val="0"/>
          <w:numId w:val="5"/>
        </w:numPr>
        <w:spacing w:after="113"/>
        <w:ind w:right="204" w:hanging="566"/>
      </w:pPr>
      <w:r w:rsidRPr="00A10663">
        <w:t xml:space="preserve">For the calculation of the capital requirement for counterparty default risk, these loss given default amounts should enter the second term of the formula set out in Article 202 of the Delegated Regulation, i.e. they are multiplied with 15% to determine the decrease of value in the stress scenario described in that article. </w:t>
      </w:r>
    </w:p>
    <w:p w14:paraId="1AB6C502" w14:textId="3EA3A27D" w:rsidR="002B3376" w:rsidRPr="00A10663" w:rsidRDefault="000C4AB1" w:rsidP="00BD6C7D">
      <w:pPr>
        <w:numPr>
          <w:ilvl w:val="0"/>
          <w:numId w:val="5"/>
        </w:numPr>
        <w:spacing w:after="113"/>
        <w:ind w:right="204" w:hanging="566"/>
      </w:pPr>
      <w:r w:rsidRPr="00A10663">
        <w:t xml:space="preserve">In the tab </w:t>
      </w:r>
      <w:r w:rsidRPr="00A10663">
        <w:rPr>
          <w:b/>
          <w:bCs/>
        </w:rPr>
        <w:t xml:space="preserve">“SF – </w:t>
      </w:r>
      <w:proofErr w:type="spellStart"/>
      <w:r w:rsidRPr="00A10663">
        <w:rPr>
          <w:b/>
          <w:bCs/>
        </w:rPr>
        <w:t>Forborne+def</w:t>
      </w:r>
      <w:proofErr w:type="spellEnd"/>
      <w:r w:rsidRPr="00A10663">
        <w:rPr>
          <w:b/>
          <w:bCs/>
        </w:rPr>
        <w:t>. loans”</w:t>
      </w:r>
      <w:r w:rsidRPr="00A10663">
        <w:t xml:space="preserve"> participants should provide the following additional information: </w:t>
      </w:r>
    </w:p>
    <w:p w14:paraId="70B08FB3" w14:textId="603A95D0" w:rsidR="002B3376" w:rsidRPr="00A10663" w:rsidRDefault="000C4AB1" w:rsidP="00BD6C7D">
      <w:pPr>
        <w:numPr>
          <w:ilvl w:val="0"/>
          <w:numId w:val="5"/>
        </w:numPr>
        <w:spacing w:after="113"/>
        <w:ind w:right="204" w:hanging="566"/>
      </w:pPr>
      <w:r w:rsidRPr="00A10663">
        <w:t xml:space="preserve">In order to compare the capital requirements for forborne and defaulted loans in the base case and under </w:t>
      </w:r>
      <w:r w:rsidR="00D92464" w:rsidRPr="00A10663">
        <w:t>the expected new regime</w:t>
      </w:r>
      <w:r w:rsidRPr="00A10663">
        <w:t xml:space="preserve">, the gross SCR for these loans  </w:t>
      </w:r>
      <w:r w:rsidR="00A91105" w:rsidRPr="00A10663">
        <w:t xml:space="preserve">should be reported in cells </w:t>
      </w:r>
      <w:r w:rsidR="00BB39AA" w:rsidRPr="00A10663">
        <w:t>E</w:t>
      </w:r>
      <w:r w:rsidR="005F78D0" w:rsidRPr="00A10663">
        <w:t xml:space="preserve">12 and </w:t>
      </w:r>
      <w:r w:rsidR="00E8301F" w:rsidRPr="00A10663">
        <w:t>G</w:t>
      </w:r>
      <w:r w:rsidR="005F78D0" w:rsidRPr="00A10663">
        <w:t>12.</w:t>
      </w:r>
      <w:r w:rsidRPr="00A10663">
        <w:t xml:space="preserve">   </w:t>
      </w:r>
    </w:p>
    <w:p w14:paraId="4085CC26" w14:textId="42923743" w:rsidR="002B3376" w:rsidRPr="00A10663" w:rsidRDefault="000C4AB1" w:rsidP="00BD6C7D">
      <w:pPr>
        <w:numPr>
          <w:ilvl w:val="0"/>
          <w:numId w:val="5"/>
        </w:numPr>
        <w:spacing w:after="113"/>
        <w:ind w:right="204" w:hanging="566"/>
      </w:pPr>
      <w:r w:rsidRPr="00A10663">
        <w:t xml:space="preserve">Information on the forborne and defaulted loans for which a credit assessment by a nominated ECAI is not available. </w:t>
      </w:r>
      <w:r w:rsidR="004A685B" w:rsidRPr="00A10663">
        <w:t>That is,</w:t>
      </w:r>
      <w:r w:rsidRPr="00A10663">
        <w:t xml:space="preserve"> the first 50 exposures are to be reported in decreasing value order (i.e. from the highest value to the lowest). </w:t>
      </w:r>
    </w:p>
    <w:p w14:paraId="67F5AD09" w14:textId="3C8BF822" w:rsidR="002B3376" w:rsidRPr="00A10663" w:rsidRDefault="000C4AB1" w:rsidP="00BD6C7D">
      <w:pPr>
        <w:numPr>
          <w:ilvl w:val="0"/>
          <w:numId w:val="5"/>
        </w:numPr>
        <w:spacing w:after="113"/>
        <w:ind w:right="204" w:hanging="566"/>
      </w:pPr>
      <w:r w:rsidRPr="00A10663">
        <w:t xml:space="preserve">Defaulted loans are defined in Article 178 of the CRR (Regulation (EU) No 575/2013), meanwhile forborne loans are laid down in par. 163 of Annex V, Part II of the Commission Implementing Regulation (EU) 2015/227.  </w:t>
      </w:r>
    </w:p>
    <w:p w14:paraId="56FC2D4D" w14:textId="0C58EF3A" w:rsidR="002B3376" w:rsidRPr="00A10663" w:rsidRDefault="000C4AB1" w:rsidP="00BD6C7D">
      <w:pPr>
        <w:numPr>
          <w:ilvl w:val="0"/>
          <w:numId w:val="5"/>
        </w:numPr>
        <w:spacing w:after="113"/>
        <w:ind w:right="204" w:hanging="566"/>
      </w:pPr>
      <w:r w:rsidRPr="00A10663">
        <w:t xml:space="preserve">The column “Stress(i)” should include the relative decrease factors used by the company to calculate the actual capital absorption, pursuant to Article 176(4) of the Delegated Regulation. </w:t>
      </w:r>
    </w:p>
    <w:p w14:paraId="2362C68E" w14:textId="157BA069" w:rsidR="002B3376" w:rsidRPr="00A10663" w:rsidRDefault="000C4AB1" w:rsidP="00BD6C7D">
      <w:pPr>
        <w:numPr>
          <w:ilvl w:val="0"/>
          <w:numId w:val="5"/>
        </w:numPr>
        <w:spacing w:after="113"/>
        <w:ind w:right="204" w:hanging="566"/>
      </w:pPr>
      <w:r w:rsidRPr="00A10663">
        <w:t>The columns “Loan value” and “</w:t>
      </w:r>
      <w:proofErr w:type="spellStart"/>
      <w:r w:rsidRPr="00A10663">
        <w:t>Recoverables</w:t>
      </w:r>
      <w:proofErr w:type="spellEnd"/>
      <w:r w:rsidRPr="00A10663">
        <w:t xml:space="preserve">” should be completed in line with the specification provided above. </w:t>
      </w:r>
    </w:p>
    <w:p w14:paraId="1F67F86D" w14:textId="338D711F" w:rsidR="002B3376" w:rsidRPr="00A10663" w:rsidRDefault="000C4AB1" w:rsidP="00BD6C7D">
      <w:pPr>
        <w:spacing w:after="247" w:line="259" w:lineRule="auto"/>
        <w:ind w:left="0" w:firstLine="0"/>
        <w:jc w:val="left"/>
      </w:pPr>
      <w:r w:rsidRPr="00A10663">
        <w:rPr>
          <w:b/>
        </w:rPr>
        <w:t xml:space="preserve"> </w:t>
      </w:r>
    </w:p>
    <w:p w14:paraId="72B221F8" w14:textId="1BE5D5DC" w:rsidR="002B3376" w:rsidRPr="00A10663" w:rsidRDefault="00530398" w:rsidP="00805F28">
      <w:pPr>
        <w:pStyle w:val="Heading5"/>
        <w:tabs>
          <w:tab w:val="center" w:pos="4703"/>
        </w:tabs>
        <w:ind w:left="0" w:firstLine="0"/>
      </w:pPr>
      <w:r w:rsidRPr="00A10663">
        <w:t>3</w:t>
      </w:r>
      <w:r w:rsidR="000C4AB1" w:rsidRPr="00A10663">
        <w:t>.</w:t>
      </w:r>
      <w:r w:rsidR="008D2B6D" w:rsidRPr="00A10663">
        <w:t>3</w:t>
      </w:r>
      <w:r w:rsidR="000C4AB1" w:rsidRPr="00A10663">
        <w:t>.1.</w:t>
      </w:r>
      <w:r w:rsidR="008A314B" w:rsidRPr="00A10663">
        <w:t>4</w:t>
      </w:r>
      <w:r w:rsidR="000C4AB1" w:rsidRPr="00A10663">
        <w:t>.</w:t>
      </w:r>
      <w:r w:rsidR="000C4AB1" w:rsidRPr="00A10663">
        <w:rPr>
          <w:rFonts w:eastAsia="Arial" w:cs="Arial"/>
        </w:rPr>
        <w:t xml:space="preserve"> </w:t>
      </w:r>
      <w:r w:rsidR="000C4AB1" w:rsidRPr="00A10663">
        <w:t xml:space="preserve">Recognition of partial guarantees on mortgage loans </w:t>
      </w:r>
    </w:p>
    <w:p w14:paraId="36CE2606" w14:textId="33219557" w:rsidR="002B3376" w:rsidRPr="00A10663" w:rsidRDefault="000C4AB1" w:rsidP="00BD6C7D">
      <w:pPr>
        <w:numPr>
          <w:ilvl w:val="0"/>
          <w:numId w:val="5"/>
        </w:numPr>
        <w:spacing w:after="113"/>
        <w:ind w:right="204" w:hanging="566"/>
      </w:pPr>
      <w:r w:rsidRPr="00A10663">
        <w:t xml:space="preserve">In the case of guarantees provided by a counterparty which is in turn guaranteed by one the counterparties mentioned in points (a) to (d) of the first subparagraph of Article 180(2) Delegated Regulation, the requirements in Article </w:t>
      </w:r>
      <w:r w:rsidR="00EB0174" w:rsidRPr="00A10663">
        <w:t xml:space="preserve">points c(iii) and </w:t>
      </w:r>
      <w:r w:rsidRPr="00A10663">
        <w:t xml:space="preserve">215(d) of the Delegated Regulation shall be considered to be satisfied where the insurance undertaking has the right to obtain in a timely manner a provisional payment by the first guarantor that meets both the following conditions: </w:t>
      </w:r>
    </w:p>
    <w:p w14:paraId="1D9582A2" w14:textId="5C28AAB3" w:rsidR="002B3376" w:rsidRPr="00A10663" w:rsidRDefault="000C4AB1" w:rsidP="00BD6C7D">
      <w:pPr>
        <w:numPr>
          <w:ilvl w:val="0"/>
          <w:numId w:val="23"/>
        </w:numPr>
        <w:ind w:right="204" w:hanging="360"/>
      </w:pPr>
      <w:r w:rsidRPr="00A10663">
        <w:t xml:space="preserve">it represents a robust estimate of the amount of the loss, including losses resulting from the non-payment of interest and other types of payment which the borrower is obliged to make, that the insurance </w:t>
      </w:r>
      <w:r w:rsidR="00DC1DCC" w:rsidRPr="00A10663">
        <w:t>undertaking</w:t>
      </w:r>
      <w:r w:rsidRPr="00A10663">
        <w:t xml:space="preserve"> is likely to incur;  </w:t>
      </w:r>
    </w:p>
    <w:p w14:paraId="0BC13B26" w14:textId="77777777" w:rsidR="002B3376" w:rsidRPr="00A10663" w:rsidRDefault="000C4AB1" w:rsidP="00BD6C7D">
      <w:pPr>
        <w:numPr>
          <w:ilvl w:val="0"/>
          <w:numId w:val="23"/>
        </w:numPr>
        <w:spacing w:after="81"/>
        <w:ind w:right="204" w:hanging="360"/>
      </w:pPr>
      <w:r w:rsidRPr="00A10663">
        <w:t xml:space="preserve">it is proportional to the coverage of the guarantee. </w:t>
      </w:r>
    </w:p>
    <w:p w14:paraId="0F06E06C" w14:textId="1F297B75" w:rsidR="002B3376" w:rsidRPr="00A10663" w:rsidRDefault="002B3376" w:rsidP="00BD6C7D">
      <w:pPr>
        <w:spacing w:after="250" w:line="259" w:lineRule="auto"/>
        <w:ind w:left="0" w:firstLine="0"/>
        <w:jc w:val="left"/>
      </w:pPr>
    </w:p>
    <w:p w14:paraId="15DC4AE1" w14:textId="311079EF" w:rsidR="002B3376" w:rsidRPr="00A10663" w:rsidRDefault="00530398" w:rsidP="00BD6C7D">
      <w:pPr>
        <w:pStyle w:val="Heading5"/>
        <w:ind w:left="631" w:hanging="646"/>
      </w:pPr>
      <w:r w:rsidRPr="00A10663">
        <w:lastRenderedPageBreak/>
        <w:t>3</w:t>
      </w:r>
      <w:r w:rsidR="000C4AB1" w:rsidRPr="00A10663">
        <w:t>.</w:t>
      </w:r>
      <w:r w:rsidR="008D2B6D" w:rsidRPr="00A10663">
        <w:t>3</w:t>
      </w:r>
      <w:r w:rsidR="000C4AB1" w:rsidRPr="00A10663">
        <w:t>.1.</w:t>
      </w:r>
      <w:r w:rsidR="008A314B" w:rsidRPr="00A10663">
        <w:t>5</w:t>
      </w:r>
      <w:r w:rsidR="000C4AB1" w:rsidRPr="00A10663">
        <w:t>.</w:t>
      </w:r>
      <w:r w:rsidR="000C4AB1" w:rsidRPr="00A10663">
        <w:rPr>
          <w:rFonts w:eastAsia="Arial" w:cs="Arial"/>
        </w:rPr>
        <w:t xml:space="preserve"> </w:t>
      </w:r>
      <w:r w:rsidR="000C4AB1" w:rsidRPr="00A10663">
        <w:t xml:space="preserve">No recognition of contingent capital or contingent convertible bonds as risk-mitigation techniques </w:t>
      </w:r>
    </w:p>
    <w:p w14:paraId="3F3163B1" w14:textId="27E755E0" w:rsidR="002B3376" w:rsidRPr="00A10663" w:rsidRDefault="000C4AB1" w:rsidP="00BD6C7D">
      <w:pPr>
        <w:numPr>
          <w:ilvl w:val="0"/>
          <w:numId w:val="5"/>
        </w:numPr>
        <w:spacing w:after="113"/>
        <w:ind w:right="204" w:hanging="566"/>
      </w:pPr>
      <w:r w:rsidRPr="00A10663">
        <w:t xml:space="preserve">Contingent capital or contingent convertible bonds should not be </w:t>
      </w:r>
      <w:proofErr w:type="spellStart"/>
      <w:r w:rsidRPr="00A10663">
        <w:t>recognised</w:t>
      </w:r>
      <w:proofErr w:type="spellEnd"/>
      <w:r w:rsidRPr="00A10663">
        <w:t xml:space="preserve"> as risk-mitigation techniques in the calculation of the SCR with the standard formula. </w:t>
      </w:r>
    </w:p>
    <w:p w14:paraId="64CA61DA" w14:textId="77777777" w:rsidR="002B3376" w:rsidRPr="00A10663" w:rsidRDefault="000C4AB1" w:rsidP="00BD6C7D">
      <w:pPr>
        <w:spacing w:after="249" w:line="259" w:lineRule="auto"/>
        <w:ind w:left="566" w:firstLine="0"/>
        <w:jc w:val="left"/>
      </w:pPr>
      <w:r w:rsidRPr="00A10663">
        <w:t xml:space="preserve"> </w:t>
      </w:r>
    </w:p>
    <w:p w14:paraId="4318DF42" w14:textId="3863C6CB" w:rsidR="002B3376" w:rsidRPr="00A10663" w:rsidRDefault="00530398" w:rsidP="00BD6C7D">
      <w:pPr>
        <w:pStyle w:val="Heading5"/>
        <w:ind w:left="631" w:hanging="646"/>
      </w:pPr>
      <w:r w:rsidRPr="00A10663">
        <w:t>3</w:t>
      </w:r>
      <w:r w:rsidR="000C4AB1" w:rsidRPr="00A10663">
        <w:t>.</w:t>
      </w:r>
      <w:r w:rsidR="008D2B6D" w:rsidRPr="00A10663">
        <w:t>3</w:t>
      </w:r>
      <w:r w:rsidR="000C4AB1" w:rsidRPr="00A10663">
        <w:t>.1.</w:t>
      </w:r>
      <w:r w:rsidR="008A314B" w:rsidRPr="00A10663">
        <w:t>6</w:t>
      </w:r>
      <w:r w:rsidR="000C4AB1" w:rsidRPr="00A10663">
        <w:t>.</w:t>
      </w:r>
      <w:r w:rsidR="000C4AB1" w:rsidRPr="00A10663">
        <w:rPr>
          <w:rFonts w:eastAsia="Arial" w:cs="Arial"/>
        </w:rPr>
        <w:t xml:space="preserve"> </w:t>
      </w:r>
      <w:r w:rsidR="000C4AB1" w:rsidRPr="00A10663">
        <w:t xml:space="preserve">Additional specification on the recognition of risk-mitigation techniques in the standard formula </w:t>
      </w:r>
    </w:p>
    <w:p w14:paraId="2C39B281" w14:textId="10AC0703" w:rsidR="002B3376" w:rsidRPr="00A10663" w:rsidRDefault="000C4AB1" w:rsidP="00BD6C7D">
      <w:pPr>
        <w:numPr>
          <w:ilvl w:val="0"/>
          <w:numId w:val="5"/>
        </w:numPr>
        <w:spacing w:after="113"/>
        <w:ind w:right="204" w:hanging="566"/>
      </w:pPr>
      <w:r w:rsidRPr="00A10663">
        <w:t xml:space="preserve">Risk-mitigation techniques should only be </w:t>
      </w:r>
      <w:proofErr w:type="spellStart"/>
      <w:r w:rsidRPr="00A10663">
        <w:t>recognised</w:t>
      </w:r>
      <w:proofErr w:type="spellEnd"/>
      <w:r w:rsidRPr="00A10663">
        <w:t xml:space="preserve"> in the calculation of the SCR standard formula if they comply, in addition to the current legal requirements, with the following requirements: </w:t>
      </w:r>
    </w:p>
    <w:p w14:paraId="3C81DC4D" w14:textId="01747FD9" w:rsidR="002B3376" w:rsidRPr="00A10663" w:rsidRDefault="000C4AB1" w:rsidP="00BD6C7D">
      <w:pPr>
        <w:ind w:left="1090" w:right="199" w:hanging="10"/>
      </w:pPr>
      <w:r w:rsidRPr="00A10663">
        <w:rPr>
          <w:i/>
        </w:rPr>
        <w:t xml:space="preserve">The undertaking shall be able to show the extent to which there is an effective transfer of risk in order to ensure that any reduction in SCR or increase in available capital resulting from its risk transfer arrangements is commensurate with the change in risk that the insurer is exposed to. </w:t>
      </w:r>
    </w:p>
    <w:p w14:paraId="5CED3CDA" w14:textId="2C240A4F" w:rsidR="002B3376" w:rsidRPr="00A10663" w:rsidRDefault="000C4AB1" w:rsidP="00BD6C7D">
      <w:pPr>
        <w:ind w:left="1090" w:right="199" w:hanging="10"/>
      </w:pPr>
      <w:r w:rsidRPr="00A10663">
        <w:rPr>
          <w:i/>
        </w:rPr>
        <w:t xml:space="preserve">The SCR and available capital shall reflect the economic substance of the arrangements that implement the technique. When calculating the Basic Solvency Capital Requirement, insurance or reinsurance undertakings shall only take into account risk-mitigation techniques as referred to in Article 101(5) of Directive 2009/138/EC where: </w:t>
      </w:r>
    </w:p>
    <w:p w14:paraId="144470F5" w14:textId="78AFC36D" w:rsidR="002B3376" w:rsidRPr="00A10663" w:rsidRDefault="000C4AB1" w:rsidP="00BD6C7D">
      <w:pPr>
        <w:numPr>
          <w:ilvl w:val="0"/>
          <w:numId w:val="24"/>
        </w:numPr>
        <w:ind w:right="199" w:hanging="410"/>
      </w:pPr>
      <w:r w:rsidRPr="00A10663">
        <w:rPr>
          <w:i/>
        </w:rPr>
        <w:t>the reduction in the SCR requirements, or increase in the available capital is commensurate with the extent of risk transfer</w:t>
      </w:r>
      <w:r w:rsidR="00FB16B1" w:rsidRPr="00A10663">
        <w:rPr>
          <w:i/>
        </w:rPr>
        <w:t>;</w:t>
      </w:r>
      <w:r w:rsidRPr="00A10663">
        <w:rPr>
          <w:i/>
        </w:rPr>
        <w:t xml:space="preserve"> and </w:t>
      </w:r>
    </w:p>
    <w:p w14:paraId="20AE20DA" w14:textId="3F3846CD" w:rsidR="002B3376" w:rsidRPr="00A10663" w:rsidRDefault="000C4AB1" w:rsidP="00BD6C7D">
      <w:pPr>
        <w:numPr>
          <w:ilvl w:val="0"/>
          <w:numId w:val="24"/>
        </w:numPr>
        <w:spacing w:after="108"/>
        <w:ind w:right="199" w:hanging="410"/>
      </w:pPr>
      <w:r w:rsidRPr="00A10663">
        <w:rPr>
          <w:i/>
        </w:rPr>
        <w:t>there is an appropriate treatment within the SCR of any corresponding risks that are acquired in the process.</w:t>
      </w:r>
      <w:r w:rsidRPr="00A10663">
        <w:t xml:space="preserve"> </w:t>
      </w:r>
    </w:p>
    <w:p w14:paraId="532F075D" w14:textId="77777777" w:rsidR="002B3376" w:rsidRPr="00A10663" w:rsidRDefault="000C4AB1" w:rsidP="00BD6C7D">
      <w:pPr>
        <w:spacing w:after="249" w:line="259" w:lineRule="auto"/>
        <w:ind w:left="566" w:firstLine="0"/>
        <w:jc w:val="left"/>
      </w:pPr>
      <w:r w:rsidRPr="00A10663">
        <w:t xml:space="preserve"> </w:t>
      </w:r>
    </w:p>
    <w:p w14:paraId="4E3A4F27" w14:textId="466C806A" w:rsidR="002B3376" w:rsidRPr="00A10663" w:rsidRDefault="00530398" w:rsidP="00805F28">
      <w:pPr>
        <w:pStyle w:val="Heading5"/>
        <w:tabs>
          <w:tab w:val="center" w:pos="3310"/>
        </w:tabs>
        <w:ind w:left="0" w:firstLine="0"/>
      </w:pPr>
      <w:r w:rsidRPr="00A10663">
        <w:t>3</w:t>
      </w:r>
      <w:r w:rsidR="000C4AB1" w:rsidRPr="00A10663">
        <w:t>.</w:t>
      </w:r>
      <w:r w:rsidR="008D2B6D" w:rsidRPr="00A10663">
        <w:t>3</w:t>
      </w:r>
      <w:r w:rsidR="000C4AB1" w:rsidRPr="00A10663">
        <w:t>.1.</w:t>
      </w:r>
      <w:r w:rsidR="008A314B" w:rsidRPr="00A10663">
        <w:t>7</w:t>
      </w:r>
      <w:r w:rsidR="000C4AB1" w:rsidRPr="00A10663">
        <w:t>.</w:t>
      </w:r>
      <w:r w:rsidR="000C4AB1" w:rsidRPr="00A10663">
        <w:rPr>
          <w:rFonts w:eastAsia="Arial" w:cs="Arial"/>
        </w:rPr>
        <w:t xml:space="preserve"> </w:t>
      </w:r>
      <w:r w:rsidR="000C4AB1" w:rsidRPr="00A10663">
        <w:t>Long-term equity investments</w:t>
      </w:r>
      <w:r w:rsidR="000C4AB1" w:rsidRPr="00A10663">
        <w:rPr>
          <w:b w:val="0"/>
        </w:rPr>
        <w:t xml:space="preserve"> </w:t>
      </w:r>
    </w:p>
    <w:p w14:paraId="2DFB793D" w14:textId="4815A99B" w:rsidR="002B3376" w:rsidRPr="00A10663" w:rsidRDefault="000C4AB1" w:rsidP="00BD6C7D">
      <w:pPr>
        <w:numPr>
          <w:ilvl w:val="0"/>
          <w:numId w:val="5"/>
        </w:numPr>
        <w:spacing w:after="113"/>
        <w:ind w:right="204" w:hanging="566"/>
      </w:pPr>
      <w:r w:rsidRPr="00A10663">
        <w:t>The calculation of the equity risk sub-module should take into account the Long Term Equity (LTE) provisions according to Article 1</w:t>
      </w:r>
      <w:r w:rsidR="004948FF" w:rsidRPr="00A10663">
        <w:t>05</w:t>
      </w:r>
      <w:r w:rsidRPr="00A10663">
        <w:t xml:space="preserve">a of the </w:t>
      </w:r>
      <w:r w:rsidR="004948FF" w:rsidRPr="00A10663">
        <w:t>Amending Directive</w:t>
      </w:r>
      <w:r w:rsidRPr="00A10663">
        <w:t xml:space="preserve">. </w:t>
      </w:r>
      <w:r w:rsidR="00AB7004" w:rsidRPr="00A10663">
        <w:t>The</w:t>
      </w:r>
      <w:r w:rsidRPr="00A10663">
        <w:t xml:space="preserve"> criteria set out in the provisions are amended. Participants should assess the applicability of the amended criteria for the application of the LTE provisions and identify those equity that can be classified as LTE. </w:t>
      </w:r>
    </w:p>
    <w:p w14:paraId="2366EC7C" w14:textId="018A65DC" w:rsidR="002B3376" w:rsidRPr="00A10663" w:rsidRDefault="000C4AB1" w:rsidP="00BD6C7D">
      <w:pPr>
        <w:numPr>
          <w:ilvl w:val="0"/>
          <w:numId w:val="5"/>
        </w:numPr>
        <w:spacing w:after="113"/>
        <w:ind w:right="204" w:hanging="566"/>
      </w:pPr>
      <w:r w:rsidRPr="00A10663">
        <w:t>The calculation of the equity risk sub-module includes the Long Term Equity (LTE) provisions according to Article 1</w:t>
      </w:r>
      <w:r w:rsidR="00D15ED5" w:rsidRPr="00A10663">
        <w:t>05</w:t>
      </w:r>
      <w:r w:rsidRPr="00A10663">
        <w:t xml:space="preserve">a of the </w:t>
      </w:r>
      <w:r w:rsidR="00D15ED5" w:rsidRPr="00A10663">
        <w:t>Amending Directive.</w:t>
      </w:r>
      <w:r w:rsidRPr="00A10663">
        <w:t xml:space="preserve">  </w:t>
      </w:r>
    </w:p>
    <w:p w14:paraId="3E8B03EC" w14:textId="7E5EDD74" w:rsidR="002B3376" w:rsidRPr="00A10663" w:rsidRDefault="000C4AB1" w:rsidP="00BD6C7D">
      <w:pPr>
        <w:numPr>
          <w:ilvl w:val="0"/>
          <w:numId w:val="5"/>
        </w:numPr>
        <w:spacing w:after="113"/>
        <w:ind w:right="204" w:hanging="566"/>
      </w:pPr>
      <w:r w:rsidRPr="00A10663">
        <w:t xml:space="preserve">In the tab </w:t>
      </w:r>
      <w:r w:rsidRPr="00A10663">
        <w:rPr>
          <w:b/>
          <w:bCs/>
        </w:rPr>
        <w:t>“SF - Equity risk”</w:t>
      </w:r>
      <w:r w:rsidRPr="00A10663">
        <w:t xml:space="preserve"> information is requested on the composition of the equity risk sub module. Information has to be reported in the base case (based on the existing requirements on equity risk and LTE) as well as under </w:t>
      </w:r>
      <w:r w:rsidR="00D92464" w:rsidRPr="00A10663">
        <w:t>the expected new regime</w:t>
      </w:r>
      <w:r w:rsidR="00D92464" w:rsidRPr="00A10663" w:rsidDel="00D92464">
        <w:t xml:space="preserve"> </w:t>
      </w:r>
      <w:r w:rsidRPr="00A10663">
        <w:t>(with alternative requirements on the application of LTE as outlined below). Information on the base case is collected in cells D13 to F33 and in cells D36 to F3</w:t>
      </w:r>
      <w:r w:rsidR="00DF1A13" w:rsidRPr="00A10663">
        <w:t>8</w:t>
      </w:r>
      <w:r w:rsidRPr="00A10663">
        <w:t xml:space="preserve">, information on the equity risk under </w:t>
      </w:r>
      <w:r w:rsidR="00D92464" w:rsidRPr="00A10663">
        <w:t>the expected new regime</w:t>
      </w:r>
      <w:r w:rsidRPr="00A10663">
        <w:t xml:space="preserve"> is collected in cells H13 to J33 and in cells H36 to J3</w:t>
      </w:r>
      <w:r w:rsidR="00DF1A13" w:rsidRPr="00A10663">
        <w:t>8</w:t>
      </w:r>
      <w:r w:rsidRPr="00A10663">
        <w:t xml:space="preserve">. </w:t>
      </w:r>
    </w:p>
    <w:p w14:paraId="76225B62" w14:textId="5D1BE291" w:rsidR="002B3376" w:rsidRPr="00A10663" w:rsidRDefault="000C4AB1" w:rsidP="00BD6C7D">
      <w:pPr>
        <w:numPr>
          <w:ilvl w:val="0"/>
          <w:numId w:val="5"/>
        </w:numPr>
        <w:spacing w:after="113"/>
        <w:ind w:right="204" w:hanging="566"/>
      </w:pPr>
      <w:r w:rsidRPr="00A10663">
        <w:t xml:space="preserve">For the purpose of applying LTE under </w:t>
      </w:r>
      <w:r w:rsidR="00D92464" w:rsidRPr="00A10663">
        <w:t>the expected new regime</w:t>
      </w:r>
      <w:r w:rsidRPr="00A10663">
        <w:t xml:space="preserve">, participants should assess the applicability of the amended criteria for the application of the LTE provisions and identify those equity that can be classified as LTE.  </w:t>
      </w:r>
    </w:p>
    <w:p w14:paraId="0E1CE05D" w14:textId="6A7CC97C" w:rsidR="00A330B7" w:rsidRPr="00A10663" w:rsidRDefault="00B414E9" w:rsidP="00BD6C7D">
      <w:pPr>
        <w:numPr>
          <w:ilvl w:val="0"/>
          <w:numId w:val="5"/>
        </w:numPr>
        <w:spacing w:after="113"/>
        <w:ind w:right="204" w:hanging="566"/>
      </w:pPr>
      <w:r w:rsidRPr="00A10663">
        <w:lastRenderedPageBreak/>
        <w:t xml:space="preserve">For the purpose of applying LTE under </w:t>
      </w:r>
      <w:r w:rsidR="00D92464" w:rsidRPr="00A10663">
        <w:t>the expected new regime</w:t>
      </w:r>
      <w:r w:rsidRPr="00A10663">
        <w:t>, parti</w:t>
      </w:r>
      <w:r w:rsidR="001C2C6A" w:rsidRPr="00A10663">
        <w:t>cip</w:t>
      </w:r>
      <w:r w:rsidR="00CC5145" w:rsidRPr="00A10663">
        <w:t xml:space="preserve">ants </w:t>
      </w:r>
      <w:r w:rsidR="003423F6" w:rsidRPr="00A10663">
        <w:t>can</w:t>
      </w:r>
      <w:r w:rsidR="00CC5145" w:rsidRPr="00A10663">
        <w:t xml:space="preserve"> assume they have </w:t>
      </w:r>
      <w:r w:rsidR="003423F6" w:rsidRPr="00A10663">
        <w:t xml:space="preserve">a policy set up as specified in </w:t>
      </w:r>
      <w:r w:rsidR="00C37513" w:rsidRPr="00A10663">
        <w:t xml:space="preserve">point e) in the Table </w:t>
      </w:r>
      <w:r w:rsidR="005A55A0" w:rsidRPr="00A10663">
        <w:t xml:space="preserve">under </w:t>
      </w:r>
      <w:r w:rsidR="000263E4" w:rsidRPr="00A10663">
        <w:fldChar w:fldCharType="begin"/>
      </w:r>
      <w:r w:rsidR="000263E4" w:rsidRPr="00A10663">
        <w:instrText xml:space="preserve"> REF _Ref190338793 \r \h </w:instrText>
      </w:r>
      <w:r w:rsidR="00A10663" w:rsidRPr="00A10663">
        <w:instrText xml:space="preserve"> \* MERGEFORMAT </w:instrText>
      </w:r>
      <w:r w:rsidR="000263E4" w:rsidRPr="00A10663">
        <w:fldChar w:fldCharType="separate"/>
      </w:r>
      <w:r w:rsidR="006730B0">
        <w:t>69</w:t>
      </w:r>
      <w:r w:rsidR="000263E4" w:rsidRPr="00A10663">
        <w:fldChar w:fldCharType="end"/>
      </w:r>
      <w:r w:rsidR="005A55A0" w:rsidRPr="00A10663">
        <w:t>.</w:t>
      </w:r>
    </w:p>
    <w:p w14:paraId="003D94E2" w14:textId="54F609FF" w:rsidR="00C37513" w:rsidRPr="00A10663" w:rsidRDefault="00C37513" w:rsidP="00BD6C7D">
      <w:pPr>
        <w:numPr>
          <w:ilvl w:val="0"/>
          <w:numId w:val="5"/>
        </w:numPr>
        <w:spacing w:after="113"/>
        <w:ind w:right="204" w:hanging="566"/>
      </w:pPr>
      <w:r w:rsidRPr="00A10663">
        <w:t xml:space="preserve">For the purpose of applying LTE under </w:t>
      </w:r>
      <w:r w:rsidR="00D92464" w:rsidRPr="00A10663">
        <w:t>the expected new regime</w:t>
      </w:r>
      <w:r w:rsidRPr="00A10663">
        <w:t xml:space="preserve">, qualitative information is requested </w:t>
      </w:r>
      <w:r w:rsidR="005A55A0" w:rsidRPr="00A10663">
        <w:t xml:space="preserve">with regards to point g) in the Table under </w:t>
      </w:r>
      <w:r w:rsidR="000263E4" w:rsidRPr="00A10663">
        <w:fldChar w:fldCharType="begin"/>
      </w:r>
      <w:r w:rsidR="000263E4" w:rsidRPr="00A10663">
        <w:instrText xml:space="preserve"> REF _Ref190338793 \r \h </w:instrText>
      </w:r>
      <w:r w:rsidR="00A10663" w:rsidRPr="00A10663">
        <w:instrText xml:space="preserve"> \* MERGEFORMAT </w:instrText>
      </w:r>
      <w:r w:rsidR="000263E4" w:rsidRPr="00A10663">
        <w:fldChar w:fldCharType="separate"/>
      </w:r>
      <w:r w:rsidR="006730B0">
        <w:t>69</w:t>
      </w:r>
      <w:r w:rsidR="000263E4" w:rsidRPr="00A10663">
        <w:fldChar w:fldCharType="end"/>
      </w:r>
      <w:r w:rsidR="005A55A0" w:rsidRPr="00A10663">
        <w:t>.</w:t>
      </w:r>
    </w:p>
    <w:p w14:paraId="1F18B8F6" w14:textId="205D3622" w:rsidR="002B3376" w:rsidRPr="00A10663" w:rsidRDefault="000C4AB1" w:rsidP="00BD6C7D">
      <w:pPr>
        <w:numPr>
          <w:ilvl w:val="0"/>
          <w:numId w:val="5"/>
        </w:numPr>
        <w:spacing w:after="113"/>
        <w:ind w:right="204" w:hanging="566"/>
      </w:pPr>
      <w:bookmarkStart w:id="20" w:name="_Ref190338793"/>
      <w:r w:rsidRPr="00A10663">
        <w:t xml:space="preserve">The following table provides an overview of the current requirements compared to the amendments for the purpose of </w:t>
      </w:r>
      <w:r w:rsidR="00EA5202" w:rsidRPr="00A10663">
        <w:t>the expected new regime</w:t>
      </w:r>
      <w:r w:rsidRPr="00A10663">
        <w:t>:</w:t>
      </w:r>
      <w:bookmarkEnd w:id="20"/>
      <w:r w:rsidRPr="00A10663">
        <w:t xml:space="preserve"> </w:t>
      </w:r>
    </w:p>
    <w:p w14:paraId="127C80AC" w14:textId="77777777" w:rsidR="002B3376" w:rsidRPr="00A10663" w:rsidRDefault="000C4AB1" w:rsidP="00BD6C7D">
      <w:pPr>
        <w:spacing w:after="0" w:line="259" w:lineRule="auto"/>
        <w:ind w:left="0" w:firstLine="0"/>
        <w:jc w:val="left"/>
      </w:pPr>
      <w:r w:rsidRPr="00A10663">
        <w:rPr>
          <w:rFonts w:eastAsia="Segoe UI" w:cs="Segoe UI"/>
        </w:rPr>
        <w:t xml:space="preserve"> </w:t>
      </w:r>
    </w:p>
    <w:tbl>
      <w:tblPr>
        <w:tblStyle w:val="TableGrid1"/>
        <w:tblW w:w="8895" w:type="dxa"/>
        <w:tblInd w:w="569" w:type="dxa"/>
        <w:tblCellMar>
          <w:top w:w="85" w:type="dxa"/>
          <w:left w:w="107" w:type="dxa"/>
          <w:bottom w:w="4" w:type="dxa"/>
          <w:right w:w="37" w:type="dxa"/>
        </w:tblCellMar>
        <w:tblLook w:val="04A0" w:firstRow="1" w:lastRow="0" w:firstColumn="1" w:lastColumn="0" w:noHBand="0" w:noVBand="1"/>
      </w:tblPr>
      <w:tblGrid>
        <w:gridCol w:w="3544"/>
        <w:gridCol w:w="5351"/>
      </w:tblGrid>
      <w:tr w:rsidR="002B3376" w:rsidRPr="00A10663" w14:paraId="0757A84D" w14:textId="77777777" w:rsidTr="00805F28">
        <w:trPr>
          <w:trHeight w:val="61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7F6"/>
            <w:vAlign w:val="bottom"/>
          </w:tcPr>
          <w:p w14:paraId="4D610F04" w14:textId="77777777" w:rsidR="002B3376" w:rsidRPr="00A10663" w:rsidRDefault="000C4AB1">
            <w:pPr>
              <w:spacing w:after="0" w:line="259" w:lineRule="auto"/>
              <w:ind w:left="0" w:firstLine="0"/>
              <w:jc w:val="center"/>
            </w:pPr>
            <w:r w:rsidRPr="00A10663">
              <w:rPr>
                <w:b/>
                <w:sz w:val="20"/>
              </w:rPr>
              <w:t xml:space="preserve">Existing requirements (base case scenario)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7F6"/>
            <w:vAlign w:val="bottom"/>
          </w:tcPr>
          <w:p w14:paraId="1F89DFB3" w14:textId="14ACE365" w:rsidR="002B3376" w:rsidRPr="00A10663" w:rsidRDefault="000C4AB1">
            <w:pPr>
              <w:spacing w:after="0" w:line="259" w:lineRule="auto"/>
              <w:ind w:left="0" w:firstLine="0"/>
              <w:jc w:val="center"/>
            </w:pPr>
            <w:r w:rsidRPr="00A10663">
              <w:rPr>
                <w:b/>
                <w:sz w:val="20"/>
              </w:rPr>
              <w:t xml:space="preserve">Change in requirements that form the basis for </w:t>
            </w:r>
            <w:r w:rsidR="00EA5202" w:rsidRPr="00A10663">
              <w:rPr>
                <w:b/>
                <w:sz w:val="20"/>
              </w:rPr>
              <w:t>the expected new regime</w:t>
            </w:r>
            <w:r w:rsidRPr="00A10663">
              <w:rPr>
                <w:b/>
                <w:sz w:val="20"/>
              </w:rPr>
              <w:t xml:space="preserve"> </w:t>
            </w:r>
            <w:r w:rsidRPr="00A10663">
              <w:rPr>
                <w:sz w:val="20"/>
              </w:rPr>
              <w:t xml:space="preserve"> </w:t>
            </w:r>
          </w:p>
        </w:tc>
      </w:tr>
      <w:tr w:rsidR="002B3376" w:rsidRPr="00A10663" w14:paraId="0B277676" w14:textId="77777777" w:rsidTr="00805F28">
        <w:trPr>
          <w:trHeight w:val="1465"/>
        </w:trPr>
        <w:tc>
          <w:tcPr>
            <w:tcW w:w="88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E05662" w14:textId="3BD9713C" w:rsidR="002B3376" w:rsidRPr="00A10663" w:rsidRDefault="000C4AB1">
            <w:pPr>
              <w:spacing w:after="119" w:line="241" w:lineRule="auto"/>
              <w:ind w:left="1" w:right="77" w:firstLine="0"/>
            </w:pPr>
            <w:r w:rsidRPr="00A10663">
              <w:rPr>
                <w:sz w:val="20"/>
                <w:szCs w:val="20"/>
              </w:rPr>
              <w:t xml:space="preserve">1. For the purpose of this Regulation, a sub-set of equity investments may be treated as long-term equity investments if the insurance or reinsurance undertaking demonstrates, to the satisfaction of the supervisory authority, that all of the following conditions are met:  </w:t>
            </w:r>
          </w:p>
          <w:p w14:paraId="615EC138" w14:textId="77777777" w:rsidR="002B3376" w:rsidRPr="00A10663" w:rsidRDefault="000C4AB1">
            <w:pPr>
              <w:spacing w:after="0" w:line="259" w:lineRule="auto"/>
              <w:ind w:left="1" w:firstLine="0"/>
              <w:jc w:val="left"/>
            </w:pPr>
            <w:r w:rsidRPr="00A10663">
              <w:rPr>
                <w:sz w:val="20"/>
              </w:rPr>
              <w:t xml:space="preserve"> </w:t>
            </w:r>
          </w:p>
        </w:tc>
      </w:tr>
      <w:tr w:rsidR="002B3376" w:rsidRPr="00A10663" w14:paraId="11AD5810" w14:textId="77777777" w:rsidTr="00805F28">
        <w:trPr>
          <w:trHeight w:val="170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83CAD" w14:textId="587ACBB3" w:rsidR="002B3376" w:rsidRPr="00A10663" w:rsidRDefault="000C4AB1">
            <w:pPr>
              <w:spacing w:after="0" w:line="259" w:lineRule="auto"/>
              <w:ind w:left="361" w:right="31" w:hanging="360"/>
              <w:jc w:val="left"/>
            </w:pPr>
            <w:r w:rsidRPr="00A10663">
              <w:rPr>
                <w:sz w:val="20"/>
                <w:szCs w:val="20"/>
              </w:rPr>
              <w:t>a)</w:t>
            </w:r>
            <w:r w:rsidRPr="00A10663">
              <w:rPr>
                <w:rFonts w:eastAsia="Arial" w:cs="Arial"/>
                <w:sz w:val="20"/>
                <w:szCs w:val="20"/>
              </w:rPr>
              <w:t xml:space="preserve"> </w:t>
            </w:r>
            <w:r w:rsidRPr="00A10663">
              <w:rPr>
                <w:sz w:val="20"/>
                <w:szCs w:val="20"/>
              </w:rPr>
              <w:t xml:space="preserve">the sub-set of equity investments as well as the holding period of each equity investment within the subset are clearly identified;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3C67FA" w14:textId="55F4E80B" w:rsidR="002B3376" w:rsidRPr="00A10663" w:rsidRDefault="000C4AB1">
            <w:pPr>
              <w:spacing w:after="103" w:line="259" w:lineRule="auto"/>
              <w:ind w:left="0" w:firstLine="0"/>
              <w:jc w:val="left"/>
            </w:pPr>
            <w:r w:rsidRPr="00A10663">
              <w:rPr>
                <w:sz w:val="20"/>
              </w:rPr>
              <w:t>The requirement is changed as follows:</w:t>
            </w:r>
          </w:p>
          <w:p w14:paraId="6337E362" w14:textId="74AA8119" w:rsidR="002B3376" w:rsidRPr="00A10663" w:rsidRDefault="003A1693" w:rsidP="008368C9">
            <w:pPr>
              <w:spacing w:before="240" w:after="103" w:line="259" w:lineRule="auto"/>
              <w:ind w:left="0" w:firstLine="0"/>
              <w:jc w:val="left"/>
            </w:pPr>
            <w:r w:rsidRPr="00A10663">
              <w:rPr>
                <w:bCs/>
                <w:iCs/>
                <w:sz w:val="20"/>
              </w:rPr>
              <w:t>the sub-set of equity investments is clearly identified and managed separately from the other activities of the undertaking;</w:t>
            </w:r>
          </w:p>
          <w:p w14:paraId="721B0575" w14:textId="77777777" w:rsidR="002B3376" w:rsidRPr="00A10663" w:rsidRDefault="000C4AB1">
            <w:pPr>
              <w:spacing w:after="0" w:line="259" w:lineRule="auto"/>
              <w:ind w:left="0" w:firstLine="0"/>
              <w:jc w:val="left"/>
            </w:pPr>
            <w:r w:rsidRPr="00A10663">
              <w:rPr>
                <w:sz w:val="20"/>
              </w:rPr>
              <w:t xml:space="preserve"> </w:t>
            </w:r>
          </w:p>
        </w:tc>
      </w:tr>
      <w:tr w:rsidR="002B3376" w:rsidRPr="00A10663" w14:paraId="488C2C8D" w14:textId="77777777" w:rsidTr="00805F28">
        <w:trPr>
          <w:trHeight w:val="85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0959" w14:textId="77777777" w:rsidR="002B3376" w:rsidRPr="00A10663" w:rsidRDefault="000C4AB1">
            <w:pPr>
              <w:spacing w:after="0" w:line="259" w:lineRule="auto"/>
              <w:ind w:left="361" w:hanging="360"/>
              <w:jc w:val="left"/>
            </w:pPr>
            <w:r w:rsidRPr="00A10663">
              <w:rPr>
                <w:sz w:val="20"/>
              </w:rPr>
              <w:t>b)</w:t>
            </w:r>
            <w:r w:rsidRPr="00A10663">
              <w:rPr>
                <w:rFonts w:eastAsia="Arial" w:cs="Arial"/>
                <w:sz w:val="20"/>
              </w:rPr>
              <w:t xml:space="preserve"> </w:t>
            </w:r>
            <w:r w:rsidRPr="00A10663">
              <w:rPr>
                <w:sz w:val="20"/>
              </w:rPr>
              <w:t xml:space="preserve">the sub-set of equity investment is included within a portfolio of assets which is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E991" w14:textId="23095A70" w:rsidR="002B3376" w:rsidRPr="00A10663" w:rsidRDefault="00D91AFB">
            <w:pPr>
              <w:spacing w:after="0" w:line="259" w:lineRule="auto"/>
              <w:ind w:left="0" w:firstLine="0"/>
              <w:jc w:val="left"/>
            </w:pPr>
            <w:r w:rsidRPr="00A10663">
              <w:rPr>
                <w:sz w:val="20"/>
              </w:rPr>
              <w:t xml:space="preserve">Deletion of the requirement. </w:t>
            </w:r>
          </w:p>
        </w:tc>
      </w:tr>
    </w:tbl>
    <w:p w14:paraId="44960500" w14:textId="77777777" w:rsidR="002B3376" w:rsidRPr="00A10663" w:rsidRDefault="002B3376" w:rsidP="00805F28">
      <w:pPr>
        <w:spacing w:after="0" w:line="259" w:lineRule="auto"/>
        <w:ind w:left="0" w:right="387" w:firstLine="0"/>
        <w:jc w:val="left"/>
      </w:pPr>
    </w:p>
    <w:tbl>
      <w:tblPr>
        <w:tblStyle w:val="TableGrid1"/>
        <w:tblW w:w="8899" w:type="dxa"/>
        <w:tblInd w:w="566" w:type="dxa"/>
        <w:tblCellMar>
          <w:top w:w="56" w:type="dxa"/>
          <w:left w:w="108" w:type="dxa"/>
          <w:right w:w="39" w:type="dxa"/>
        </w:tblCellMar>
        <w:tblLook w:val="04A0" w:firstRow="1" w:lastRow="0" w:firstColumn="1" w:lastColumn="0" w:noHBand="0" w:noVBand="1"/>
      </w:tblPr>
      <w:tblGrid>
        <w:gridCol w:w="3545"/>
        <w:gridCol w:w="5354"/>
      </w:tblGrid>
      <w:tr w:rsidR="002B3376" w:rsidRPr="00A10663" w14:paraId="14CE0B6B" w14:textId="77777777" w:rsidTr="00805F28">
        <w:trPr>
          <w:trHeight w:val="2477"/>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A9A6E" w14:textId="77777777" w:rsidR="002B3376" w:rsidRPr="00A10663" w:rsidRDefault="000C4AB1">
            <w:pPr>
              <w:spacing w:after="0" w:line="259" w:lineRule="auto"/>
              <w:ind w:left="362" w:right="42" w:firstLine="0"/>
              <w:jc w:val="left"/>
            </w:pPr>
            <w:r w:rsidRPr="00A10663">
              <w:rPr>
                <w:sz w:val="20"/>
              </w:rPr>
              <w:t xml:space="preserve">assigned to cover the best estimate of a portfolio of insurance or reinsurance obligations corresponding to one or several clearly identified businesses, and the undertaking maintains that assignment over the lifetime of the obligations;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6ED65" w14:textId="77777777" w:rsidR="002B3376" w:rsidRPr="00A10663" w:rsidRDefault="000C4AB1">
            <w:pPr>
              <w:spacing w:after="0" w:line="259" w:lineRule="auto"/>
              <w:ind w:left="0" w:firstLine="0"/>
              <w:jc w:val="left"/>
            </w:pPr>
            <w:r w:rsidRPr="00A10663">
              <w:rPr>
                <w:sz w:val="20"/>
              </w:rPr>
              <w:t xml:space="preserve">  </w:t>
            </w:r>
          </w:p>
        </w:tc>
      </w:tr>
      <w:tr w:rsidR="002B3376" w:rsidRPr="00A10663" w14:paraId="20DF9BE3" w14:textId="77777777" w:rsidTr="00805F28">
        <w:trPr>
          <w:trHeight w:val="3298"/>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C58A" w14:textId="77777777" w:rsidR="002B3376" w:rsidRPr="00A10663" w:rsidRDefault="000C4AB1">
            <w:pPr>
              <w:spacing w:after="0" w:line="259" w:lineRule="auto"/>
              <w:ind w:left="362" w:right="53" w:hanging="360"/>
              <w:jc w:val="left"/>
            </w:pPr>
            <w:r w:rsidRPr="00A10663">
              <w:rPr>
                <w:sz w:val="20"/>
              </w:rPr>
              <w:t>c)</w:t>
            </w:r>
            <w:r w:rsidRPr="00A10663">
              <w:rPr>
                <w:rFonts w:eastAsia="Arial" w:cs="Arial"/>
                <w:sz w:val="20"/>
              </w:rPr>
              <w:t xml:space="preserve"> </w:t>
            </w:r>
            <w:r w:rsidRPr="00A10663">
              <w:rPr>
                <w:sz w:val="20"/>
              </w:rPr>
              <w:t xml:space="preserve">the portfolio of insurance or reinsurance obligations, and the assigned portfolio of assets referred to in point (b) are identified, managed and </w:t>
            </w:r>
            <w:proofErr w:type="spellStart"/>
            <w:r w:rsidRPr="00A10663">
              <w:rPr>
                <w:sz w:val="20"/>
              </w:rPr>
              <w:t>organised</w:t>
            </w:r>
            <w:proofErr w:type="spellEnd"/>
            <w:r w:rsidRPr="00A10663">
              <w:rPr>
                <w:sz w:val="20"/>
              </w:rPr>
              <w:t xml:space="preserve"> separately from the other activities of the undertaking, and the assigned portfolio of assets cannot be used to cover losses arising from other activities of the undertaking;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F056A" w14:textId="140C053E" w:rsidR="002B3376" w:rsidRPr="00A10663" w:rsidRDefault="00D91AFB">
            <w:pPr>
              <w:spacing w:after="0" w:line="259" w:lineRule="auto"/>
              <w:ind w:left="0" w:firstLine="0"/>
              <w:jc w:val="left"/>
            </w:pPr>
            <w:r w:rsidRPr="00A10663">
              <w:rPr>
                <w:sz w:val="20"/>
              </w:rPr>
              <w:t xml:space="preserve">Deletion of the requirement. </w:t>
            </w:r>
          </w:p>
        </w:tc>
      </w:tr>
      <w:tr w:rsidR="002B3376" w:rsidRPr="00A10663" w14:paraId="4D284DAD" w14:textId="77777777" w:rsidTr="00805F28">
        <w:trPr>
          <w:trHeight w:val="220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C07EA" w14:textId="77777777" w:rsidR="002B3376" w:rsidRPr="00A10663" w:rsidRDefault="000C4AB1">
            <w:pPr>
              <w:spacing w:after="0" w:line="259" w:lineRule="auto"/>
              <w:ind w:left="362" w:right="54" w:hanging="360"/>
              <w:jc w:val="left"/>
            </w:pPr>
            <w:r w:rsidRPr="00A10663">
              <w:rPr>
                <w:sz w:val="20"/>
              </w:rPr>
              <w:lastRenderedPageBreak/>
              <w:t>d)</w:t>
            </w:r>
            <w:r w:rsidRPr="00A10663">
              <w:rPr>
                <w:rFonts w:eastAsia="Arial" w:cs="Arial"/>
                <w:sz w:val="20"/>
              </w:rPr>
              <w:t xml:space="preserve"> </w:t>
            </w:r>
            <w:r w:rsidRPr="00A10663">
              <w:rPr>
                <w:sz w:val="20"/>
              </w:rPr>
              <w:t xml:space="preserve">the technical provisions within the portfolio of insurance or reinsurance obligations referred to in point (b) only represent a part of the total technical provisions of the insurance or reinsurance undertaking;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87B8A" w14:textId="77777777" w:rsidR="002B3376" w:rsidRPr="00A10663" w:rsidRDefault="000C4AB1">
            <w:pPr>
              <w:spacing w:after="0" w:line="259" w:lineRule="auto"/>
              <w:ind w:left="0" w:firstLine="0"/>
              <w:jc w:val="left"/>
            </w:pPr>
            <w:r w:rsidRPr="00A10663">
              <w:rPr>
                <w:sz w:val="20"/>
              </w:rPr>
              <w:t xml:space="preserve">Deletion of the requirement. </w:t>
            </w:r>
          </w:p>
        </w:tc>
      </w:tr>
      <w:tr w:rsidR="002B3376" w:rsidRPr="00A10663" w14:paraId="5E3228B2" w14:textId="77777777" w:rsidTr="00805F28">
        <w:trPr>
          <w:trHeight w:val="357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8B918" w14:textId="77777777" w:rsidR="002B3376" w:rsidRPr="00A10663" w:rsidRDefault="000C4AB1">
            <w:pPr>
              <w:spacing w:after="0" w:line="259" w:lineRule="auto"/>
              <w:ind w:left="362" w:hanging="360"/>
              <w:jc w:val="left"/>
            </w:pPr>
            <w:r w:rsidRPr="00A10663">
              <w:rPr>
                <w:sz w:val="20"/>
              </w:rPr>
              <w:t>e)</w:t>
            </w:r>
            <w:r w:rsidRPr="00A10663">
              <w:rPr>
                <w:rFonts w:eastAsia="Arial" w:cs="Arial"/>
                <w:sz w:val="20"/>
              </w:rPr>
              <w:t xml:space="preserve"> </w:t>
            </w:r>
            <w:r w:rsidRPr="00A10663">
              <w:rPr>
                <w:sz w:val="20"/>
              </w:rPr>
              <w:t xml:space="preserve">the average holding period of equity investments in the sub-set exceeds 5 years, or where the average holding period of the sub-set is lower than 5 years, the insurance or reinsurance undertaking does not sell any equity investments within the subset until the average holding period exceeds 5 years;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19FFF" w14:textId="77777777" w:rsidR="002B3376" w:rsidRPr="00A10663" w:rsidRDefault="000C4AB1">
            <w:pPr>
              <w:spacing w:after="12" w:line="259" w:lineRule="auto"/>
              <w:ind w:left="0" w:firstLine="0"/>
              <w:jc w:val="left"/>
            </w:pPr>
            <w:r w:rsidRPr="00A10663">
              <w:rPr>
                <w:sz w:val="20"/>
              </w:rPr>
              <w:t xml:space="preserve">The requirement is changed as follows: </w:t>
            </w:r>
          </w:p>
          <w:p w14:paraId="020397B0" w14:textId="77777777" w:rsidR="002B3376" w:rsidRPr="00A10663" w:rsidRDefault="000C4AB1">
            <w:pPr>
              <w:spacing w:after="12" w:line="259" w:lineRule="auto"/>
              <w:ind w:left="0" w:firstLine="0"/>
              <w:jc w:val="left"/>
            </w:pPr>
            <w:r w:rsidRPr="00A10663">
              <w:rPr>
                <w:sz w:val="20"/>
              </w:rPr>
              <w:t xml:space="preserve"> </w:t>
            </w:r>
          </w:p>
          <w:p w14:paraId="1CDCD05C" w14:textId="2914F62C" w:rsidR="002B3376" w:rsidRPr="00A10663" w:rsidRDefault="00F524AB">
            <w:pPr>
              <w:spacing w:after="0" w:line="259" w:lineRule="auto"/>
              <w:ind w:left="0" w:firstLine="0"/>
              <w:jc w:val="left"/>
            </w:pPr>
            <w:r w:rsidRPr="00A10663">
              <w:rPr>
                <w:bCs/>
                <w:iCs/>
                <w:sz w:val="20"/>
              </w:rPr>
              <w:t>a policy for long-term investment management is set up for each long-term equity portfolio and reflects the undertaking’s commitment to hold the overall exposure to equity in the sub-set of equity investment for a period that exceeds five years on average. The administrative, management or supervisory body of the undertaking shall explicitly endorse the investment management policies and those policies are frequently reviewed against the actual management of the portfolios, and reported in the ORSA of the undertaking referred to in Article 45;</w:t>
            </w:r>
          </w:p>
        </w:tc>
      </w:tr>
      <w:tr w:rsidR="002B3376" w:rsidRPr="00A10663" w14:paraId="78656751" w14:textId="77777777" w:rsidTr="00805F28">
        <w:trPr>
          <w:trHeight w:val="138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0153F" w14:textId="25EBCF64" w:rsidR="002B3376" w:rsidRPr="00A10663" w:rsidRDefault="000C4AB1">
            <w:pPr>
              <w:spacing w:after="0" w:line="259" w:lineRule="auto"/>
              <w:ind w:left="362" w:hanging="360"/>
              <w:jc w:val="left"/>
            </w:pPr>
            <w:r w:rsidRPr="00A10663">
              <w:rPr>
                <w:sz w:val="20"/>
              </w:rPr>
              <w:t>f)</w:t>
            </w:r>
            <w:r w:rsidRPr="00A10663">
              <w:rPr>
                <w:rFonts w:eastAsia="Arial" w:cs="Arial"/>
                <w:sz w:val="20"/>
              </w:rPr>
              <w:t xml:space="preserve"> </w:t>
            </w:r>
            <w:r w:rsidRPr="00A10663">
              <w:rPr>
                <w:sz w:val="20"/>
              </w:rPr>
              <w:t xml:space="preserve">the sub-set of equity investments consists only of equities that are listed in the EEA or of unlisted equities of companies that have their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DDD5" w14:textId="77777777" w:rsidR="004C61BC" w:rsidRPr="00A10663" w:rsidRDefault="004C61BC" w:rsidP="004C61BC">
            <w:pPr>
              <w:spacing w:after="12" w:line="259" w:lineRule="auto"/>
              <w:ind w:left="0" w:firstLine="0"/>
              <w:jc w:val="left"/>
            </w:pPr>
            <w:r w:rsidRPr="00A10663">
              <w:rPr>
                <w:sz w:val="20"/>
              </w:rPr>
              <w:t xml:space="preserve">The requirement is changed as follows: </w:t>
            </w:r>
          </w:p>
          <w:p w14:paraId="109FD81D" w14:textId="77777777" w:rsidR="004C61BC" w:rsidRPr="00A10663" w:rsidRDefault="004C61BC">
            <w:pPr>
              <w:spacing w:after="0" w:line="259" w:lineRule="auto"/>
              <w:ind w:left="0" w:firstLine="0"/>
              <w:jc w:val="left"/>
              <w:rPr>
                <w:bCs/>
                <w:i/>
                <w:sz w:val="20"/>
              </w:rPr>
            </w:pPr>
          </w:p>
          <w:p w14:paraId="2C4BF0E6" w14:textId="2434C8B5" w:rsidR="002B3376" w:rsidRPr="00A10663" w:rsidRDefault="004C61BC">
            <w:pPr>
              <w:spacing w:after="0" w:line="259" w:lineRule="auto"/>
              <w:ind w:left="0" w:firstLine="0"/>
              <w:jc w:val="left"/>
            </w:pPr>
            <w:r w:rsidRPr="00A10663">
              <w:rPr>
                <w:bCs/>
                <w:iCs/>
                <w:sz w:val="20"/>
              </w:rPr>
              <w:t xml:space="preserve">the sub-set of equity investments consists only of equities that are listed in countries that are member of the EEA or of the </w:t>
            </w:r>
            <w:proofErr w:type="spellStart"/>
            <w:r w:rsidRPr="00A10663">
              <w:rPr>
                <w:bCs/>
                <w:iCs/>
                <w:sz w:val="20"/>
              </w:rPr>
              <w:t>Organisation</w:t>
            </w:r>
            <w:proofErr w:type="spellEnd"/>
            <w:r w:rsidRPr="00A10663">
              <w:rPr>
                <w:bCs/>
                <w:iCs/>
                <w:sz w:val="20"/>
              </w:rPr>
              <w:t xml:space="preserve"> for Economic Co-operation and Development (OECD) or of unlisted equities of companies that have their head offices in countries that are member of the EEA or of the OECD;</w:t>
            </w:r>
          </w:p>
        </w:tc>
      </w:tr>
    </w:tbl>
    <w:p w14:paraId="65397E5E" w14:textId="77777777" w:rsidR="002B3376" w:rsidRPr="00A10663" w:rsidRDefault="002B3376" w:rsidP="00805F28">
      <w:pPr>
        <w:spacing w:after="0" w:line="259" w:lineRule="auto"/>
        <w:ind w:left="0" w:right="387" w:firstLine="0"/>
        <w:jc w:val="left"/>
      </w:pPr>
    </w:p>
    <w:tbl>
      <w:tblPr>
        <w:tblStyle w:val="TableGrid1"/>
        <w:tblW w:w="8899" w:type="dxa"/>
        <w:tblInd w:w="566" w:type="dxa"/>
        <w:tblCellMar>
          <w:top w:w="54" w:type="dxa"/>
          <w:left w:w="108" w:type="dxa"/>
          <w:bottom w:w="4" w:type="dxa"/>
          <w:right w:w="36" w:type="dxa"/>
        </w:tblCellMar>
        <w:tblLook w:val="04A0" w:firstRow="1" w:lastRow="0" w:firstColumn="1" w:lastColumn="0" w:noHBand="0" w:noVBand="1"/>
      </w:tblPr>
      <w:tblGrid>
        <w:gridCol w:w="3545"/>
        <w:gridCol w:w="5354"/>
      </w:tblGrid>
      <w:tr w:rsidR="002B3376" w:rsidRPr="00A10663" w14:paraId="734AA486" w14:textId="77777777" w:rsidTr="00805F28">
        <w:trPr>
          <w:trHeight w:val="56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1C45F" w14:textId="77777777" w:rsidR="002B3376" w:rsidRPr="00A10663" w:rsidRDefault="000C4AB1">
            <w:pPr>
              <w:spacing w:after="0" w:line="259" w:lineRule="auto"/>
              <w:ind w:left="362" w:firstLine="0"/>
              <w:jc w:val="left"/>
            </w:pPr>
            <w:r w:rsidRPr="00A10663">
              <w:rPr>
                <w:sz w:val="20"/>
              </w:rPr>
              <w:t xml:space="preserve">head offices in countries that are members of the EEA;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763C0" w14:textId="77777777" w:rsidR="002B3376" w:rsidRPr="00A10663" w:rsidRDefault="002B3376">
            <w:pPr>
              <w:spacing w:after="160" w:line="259" w:lineRule="auto"/>
              <w:ind w:left="0" w:firstLine="0"/>
              <w:jc w:val="left"/>
            </w:pPr>
          </w:p>
        </w:tc>
      </w:tr>
      <w:tr w:rsidR="002B3376" w:rsidRPr="00A10663" w14:paraId="6003EC33" w14:textId="77777777" w:rsidTr="00805F28">
        <w:trPr>
          <w:trHeight w:val="554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6987A" w14:textId="77777777" w:rsidR="002B3376" w:rsidRPr="00A10663" w:rsidRDefault="000C4AB1">
            <w:pPr>
              <w:spacing w:after="0" w:line="259" w:lineRule="auto"/>
              <w:ind w:left="362" w:right="57" w:hanging="360"/>
              <w:jc w:val="left"/>
            </w:pPr>
            <w:r w:rsidRPr="00A10663">
              <w:rPr>
                <w:sz w:val="20"/>
              </w:rPr>
              <w:lastRenderedPageBreak/>
              <w:t>g)</w:t>
            </w:r>
            <w:r w:rsidRPr="00A10663">
              <w:rPr>
                <w:rFonts w:eastAsia="Arial" w:cs="Arial"/>
                <w:sz w:val="20"/>
              </w:rPr>
              <w:t xml:space="preserve"> </w:t>
            </w:r>
            <w:r w:rsidRPr="00A10663">
              <w:rPr>
                <w:sz w:val="20"/>
              </w:rPr>
              <w:t xml:space="preserve">the solvency and liquidity position of the insurance or reinsurance undertaking, as well as its strategies, processes and reporting procedures with respect to asset-liability management, are such as to ensure, on an ongoing basis and under stressed conditions, that it is able to avoid forced sales of each equity investments within the sub-set for at least 10 years;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43418" w14:textId="77777777" w:rsidR="002B3376" w:rsidRPr="00A10663" w:rsidRDefault="000C4AB1">
            <w:pPr>
              <w:spacing w:after="101" w:line="259" w:lineRule="auto"/>
              <w:ind w:left="0" w:firstLine="0"/>
              <w:jc w:val="left"/>
            </w:pPr>
            <w:r w:rsidRPr="00A10663">
              <w:rPr>
                <w:sz w:val="20"/>
              </w:rPr>
              <w:t xml:space="preserve">The requirement is changed as follows: </w:t>
            </w:r>
          </w:p>
          <w:p w14:paraId="2619F08B" w14:textId="212C367D" w:rsidR="002B3376" w:rsidRPr="00A10663" w:rsidRDefault="00C93FB4">
            <w:pPr>
              <w:spacing w:after="0" w:line="259" w:lineRule="auto"/>
              <w:ind w:left="0" w:firstLine="0"/>
              <w:rPr>
                <w:bCs/>
                <w:iCs/>
                <w:sz w:val="20"/>
              </w:rPr>
            </w:pPr>
            <w:r w:rsidRPr="00A10663">
              <w:rPr>
                <w:bCs/>
                <w:iCs/>
                <w:sz w:val="20"/>
              </w:rPr>
              <w:t>on an ongoing basis and under stressed conditions, the insurance or reinsurance undertaking is able to avoid forced selling of equity investments within the sub-set for five years;</w:t>
            </w:r>
          </w:p>
          <w:p w14:paraId="7D5CAAE3" w14:textId="77777777" w:rsidR="00BB32EE" w:rsidRPr="00A10663" w:rsidRDefault="00BB32EE">
            <w:pPr>
              <w:spacing w:after="0" w:line="259" w:lineRule="auto"/>
              <w:ind w:left="0" w:firstLine="0"/>
              <w:rPr>
                <w:bCs/>
                <w:iCs/>
                <w:sz w:val="20"/>
              </w:rPr>
            </w:pPr>
          </w:p>
          <w:p w14:paraId="394D27FD" w14:textId="6585D602" w:rsidR="002B3376" w:rsidRPr="00A10663" w:rsidRDefault="00BB32EE">
            <w:pPr>
              <w:spacing w:after="0" w:line="259" w:lineRule="auto"/>
              <w:ind w:left="0" w:firstLine="0"/>
            </w:pPr>
            <w:r w:rsidRPr="00A10663">
              <w:rPr>
                <w:bCs/>
                <w:iCs/>
                <w:sz w:val="20"/>
              </w:rPr>
              <w:t xml:space="preserve">[Note that a substantiation of this requirement is not </w:t>
            </w:r>
            <w:r w:rsidR="00F0747A" w:rsidRPr="00A10663">
              <w:rPr>
                <w:bCs/>
                <w:iCs/>
                <w:sz w:val="20"/>
              </w:rPr>
              <w:t>requested</w:t>
            </w:r>
            <w:r w:rsidRPr="00A10663">
              <w:rPr>
                <w:bCs/>
                <w:iCs/>
                <w:sz w:val="20"/>
              </w:rPr>
              <w:t xml:space="preserve"> at this point </w:t>
            </w:r>
            <w:r w:rsidR="00B01333" w:rsidRPr="00A10663">
              <w:rPr>
                <w:bCs/>
                <w:iCs/>
                <w:sz w:val="20"/>
              </w:rPr>
              <w:t>as it is not yet clear what the requirement will exactly look like]</w:t>
            </w:r>
          </w:p>
        </w:tc>
      </w:tr>
      <w:tr w:rsidR="002B3376" w:rsidRPr="00A10663" w14:paraId="0D4019F0" w14:textId="77777777" w:rsidTr="00805F28">
        <w:trPr>
          <w:trHeight w:val="3298"/>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51D2" w14:textId="62A4D2B8" w:rsidR="002B3376" w:rsidRPr="00A10663" w:rsidRDefault="000C4AB1">
            <w:pPr>
              <w:spacing w:after="0" w:line="259" w:lineRule="auto"/>
              <w:ind w:left="362" w:hanging="360"/>
              <w:jc w:val="left"/>
            </w:pPr>
            <w:r w:rsidRPr="00A10663">
              <w:rPr>
                <w:sz w:val="20"/>
                <w:szCs w:val="20"/>
              </w:rPr>
              <w:t>h)</w:t>
            </w:r>
            <w:r w:rsidRPr="00A10663">
              <w:rPr>
                <w:rFonts w:eastAsia="Arial" w:cs="Arial"/>
                <w:sz w:val="20"/>
                <w:szCs w:val="20"/>
              </w:rPr>
              <w:t xml:space="preserve"> </w:t>
            </w:r>
            <w:r w:rsidRPr="00A10663">
              <w:rPr>
                <w:sz w:val="20"/>
                <w:szCs w:val="20"/>
              </w:rPr>
              <w:t xml:space="preserve">the risk management, </w:t>
            </w:r>
            <w:r w:rsidR="00925C56" w:rsidRPr="00A10663">
              <w:rPr>
                <w:sz w:val="20"/>
                <w:szCs w:val="20"/>
              </w:rPr>
              <w:t>asset liability</w:t>
            </w:r>
            <w:r w:rsidRPr="00A10663">
              <w:rPr>
                <w:sz w:val="20"/>
                <w:szCs w:val="20"/>
              </w:rPr>
              <w:t xml:space="preserve"> management and investment policies of the insurance or reinsurance undertaking reflects the undertaking's intention to hold the sub-set of equity investments for a period that is compatible with the requirement of point (e) and its ability to meet the requirement of point (g).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CDEE6" w14:textId="5A0F5DFD" w:rsidR="002B3376" w:rsidRPr="00A10663" w:rsidRDefault="00925C56">
            <w:pPr>
              <w:spacing w:after="0" w:line="259" w:lineRule="auto"/>
              <w:ind w:left="0" w:firstLine="0"/>
            </w:pPr>
            <w:r w:rsidRPr="00A10663">
              <w:rPr>
                <w:sz w:val="20"/>
              </w:rPr>
              <w:t xml:space="preserve">No change </w:t>
            </w:r>
          </w:p>
        </w:tc>
      </w:tr>
      <w:tr w:rsidR="002B3376" w:rsidRPr="00A10663" w14:paraId="265F6633" w14:textId="77777777" w:rsidTr="00805F28">
        <w:trPr>
          <w:trHeight w:val="1493"/>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2FD3BE" w14:textId="77777777" w:rsidR="002B3376" w:rsidRPr="00A10663" w:rsidRDefault="000C4AB1">
            <w:pPr>
              <w:spacing w:after="0" w:line="259" w:lineRule="auto"/>
              <w:ind w:left="2" w:firstLine="0"/>
              <w:jc w:val="left"/>
            </w:pPr>
            <w:r w:rsidRPr="00A10663">
              <w:rPr>
                <w:sz w:val="20"/>
              </w:rPr>
              <w:t xml:space="preserve"> </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B0BC6" w14:textId="0A536DD3" w:rsidR="002B3376" w:rsidRPr="00A10663" w:rsidRDefault="000C4AB1">
            <w:pPr>
              <w:spacing w:after="0" w:line="259" w:lineRule="auto"/>
              <w:ind w:left="0" w:right="27" w:firstLine="0"/>
              <w:jc w:val="left"/>
            </w:pPr>
            <w:r w:rsidRPr="00A10663">
              <w:rPr>
                <w:sz w:val="20"/>
                <w:szCs w:val="20"/>
              </w:rPr>
              <w:t xml:space="preserve">i) the sub-set of equity investments </w:t>
            </w:r>
            <w:r w:rsidR="000C0F02" w:rsidRPr="00A10663">
              <w:rPr>
                <w:bCs/>
                <w:iCs/>
                <w:sz w:val="20"/>
                <w:szCs w:val="20"/>
              </w:rPr>
              <w:t>is appropriately diversified in such a way as to avoid excessive reliance on any particular issuer or group of undertakings and excessive accumulation of risk in the portfolio of long-term equity investments as a whole with the same risk profile;</w:t>
            </w:r>
          </w:p>
        </w:tc>
      </w:tr>
      <w:tr w:rsidR="000C0F02" w:rsidRPr="00A10663" w14:paraId="0AFACB7E" w14:textId="77777777" w:rsidTr="00805F28">
        <w:trPr>
          <w:trHeight w:val="280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7CF104" w14:textId="77777777" w:rsidR="000C0F02" w:rsidRPr="00A10663" w:rsidRDefault="000C0F02" w:rsidP="00925C56">
            <w:pPr>
              <w:spacing w:after="0" w:line="259" w:lineRule="auto"/>
              <w:ind w:left="2" w:right="71" w:firstLine="0"/>
              <w:rPr>
                <w:sz w:val="20"/>
              </w:rPr>
            </w:pP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6F8FC" w14:textId="64C84BB3" w:rsidR="000C0F02" w:rsidRPr="00A10663" w:rsidRDefault="000C0F02" w:rsidP="00925C56">
            <w:pPr>
              <w:spacing w:after="0" w:line="259" w:lineRule="auto"/>
              <w:ind w:left="0" w:firstLine="0"/>
              <w:jc w:val="left"/>
              <w:rPr>
                <w:sz w:val="20"/>
              </w:rPr>
            </w:pPr>
            <w:r w:rsidRPr="00A10663">
              <w:rPr>
                <w:sz w:val="20"/>
              </w:rPr>
              <w:t xml:space="preserve">j) </w:t>
            </w:r>
            <w:r w:rsidRPr="00A10663">
              <w:rPr>
                <w:bCs/>
                <w:iCs/>
                <w:sz w:val="20"/>
              </w:rPr>
              <w:t>the sub-set of equity investments does not include participations.</w:t>
            </w:r>
          </w:p>
        </w:tc>
      </w:tr>
      <w:tr w:rsidR="002B3376" w:rsidRPr="00A10663" w14:paraId="1E83E8B9" w14:textId="77777777" w:rsidTr="00805F28">
        <w:trPr>
          <w:trHeight w:val="280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E08001" w14:textId="4D2905BA" w:rsidR="002B3376" w:rsidRPr="00A10663" w:rsidRDefault="000C4AB1" w:rsidP="008368C9">
            <w:pPr>
              <w:spacing w:after="0" w:line="259" w:lineRule="auto"/>
              <w:ind w:left="2" w:right="71" w:firstLine="0"/>
              <w:jc w:val="left"/>
            </w:pPr>
            <w:r w:rsidRPr="00A10663">
              <w:rPr>
                <w:sz w:val="20"/>
              </w:rPr>
              <w:lastRenderedPageBreak/>
              <w:t>2. Where equities are held within collective investment undertakings or within alternative investment funds referred to in points (a) to (d) of Article 168(6), the conditions set out in paragraph 1 of this Article may be assessed at the level of the funds and not of the underlying assets held within those funds.</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B9CB3" w14:textId="3DA8EB47" w:rsidR="002F4257" w:rsidRPr="00A10663" w:rsidRDefault="002F4257" w:rsidP="00925C56">
            <w:pPr>
              <w:spacing w:after="0" w:line="259" w:lineRule="auto"/>
              <w:ind w:left="0" w:firstLine="0"/>
              <w:jc w:val="left"/>
              <w:rPr>
                <w:sz w:val="20"/>
              </w:rPr>
            </w:pPr>
            <w:r w:rsidRPr="00A10663">
              <w:rPr>
                <w:sz w:val="20"/>
              </w:rPr>
              <w:t>The requirement is changed as follows:</w:t>
            </w:r>
          </w:p>
          <w:p w14:paraId="5F973CF1" w14:textId="77777777" w:rsidR="002F4257" w:rsidRPr="00A10663" w:rsidRDefault="002F4257" w:rsidP="00925C56">
            <w:pPr>
              <w:spacing w:after="0" w:line="259" w:lineRule="auto"/>
              <w:ind w:left="0" w:firstLine="0"/>
              <w:jc w:val="left"/>
              <w:rPr>
                <w:sz w:val="20"/>
              </w:rPr>
            </w:pPr>
          </w:p>
          <w:p w14:paraId="3279FEC7" w14:textId="77777777" w:rsidR="002F4257" w:rsidRPr="00A10663" w:rsidRDefault="002F4257" w:rsidP="002F4257">
            <w:pPr>
              <w:spacing w:after="0" w:line="259" w:lineRule="auto"/>
              <w:ind w:left="0" w:firstLine="0"/>
              <w:jc w:val="left"/>
              <w:rPr>
                <w:iCs/>
                <w:sz w:val="20"/>
              </w:rPr>
            </w:pPr>
            <w:r w:rsidRPr="00A10663">
              <w:rPr>
                <w:bCs/>
                <w:iCs/>
                <w:sz w:val="20"/>
                <w:lang w:val="en-GB"/>
              </w:rPr>
              <w:t>Where equities are held within European long-term investment funds or within certain types of collective investment undertaking, including alternative investment funds, which are identified in the delegated acts adopted pursuant to this Directive as having a lower risk profile, the conditions laid down in paragraph 1 may be assessed at the level of the funds and not of the underlying</w:t>
            </w:r>
            <w:r w:rsidRPr="00A10663">
              <w:rPr>
                <w:b/>
                <w:iCs/>
                <w:sz w:val="20"/>
                <w:lang w:val="en-GB"/>
              </w:rPr>
              <w:t xml:space="preserve"> </w:t>
            </w:r>
            <w:r w:rsidRPr="00A10663">
              <w:rPr>
                <w:bCs/>
                <w:iCs/>
                <w:sz w:val="20"/>
                <w:lang w:val="en-GB"/>
              </w:rPr>
              <w:t>assets held within those funds.</w:t>
            </w:r>
            <w:r w:rsidRPr="00A10663">
              <w:rPr>
                <w:iCs/>
                <w:sz w:val="20"/>
              </w:rPr>
              <w:t xml:space="preserve"> </w:t>
            </w:r>
          </w:p>
          <w:p w14:paraId="239B7929" w14:textId="3D7228E2" w:rsidR="002B3376" w:rsidRPr="00A10663" w:rsidRDefault="00925C56">
            <w:pPr>
              <w:spacing w:after="0" w:line="259" w:lineRule="auto"/>
              <w:ind w:left="0" w:firstLine="0"/>
              <w:jc w:val="left"/>
            </w:pPr>
            <w:r w:rsidRPr="00A10663">
              <w:rPr>
                <w:sz w:val="20"/>
              </w:rPr>
              <w:t xml:space="preserve"> </w:t>
            </w:r>
          </w:p>
        </w:tc>
      </w:tr>
      <w:tr w:rsidR="002B3376" w:rsidRPr="00A10663" w14:paraId="544DD077" w14:textId="77777777" w:rsidTr="00805F28">
        <w:trPr>
          <w:trHeight w:val="739"/>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10253" w14:textId="5D084284" w:rsidR="005E22AF" w:rsidRPr="00A10663" w:rsidRDefault="000C4AB1" w:rsidP="008368C9">
            <w:pPr>
              <w:spacing w:after="0" w:line="241" w:lineRule="auto"/>
              <w:ind w:left="2" w:right="71" w:firstLine="0"/>
              <w:jc w:val="left"/>
            </w:pPr>
            <w:r w:rsidRPr="00A10663">
              <w:rPr>
                <w:sz w:val="20"/>
              </w:rPr>
              <w:t>3. Insurance or reinsurance undertakings that treat a sub-set of equity investments as long-</w:t>
            </w:r>
            <w:r w:rsidR="005E22AF" w:rsidRPr="00A10663">
              <w:rPr>
                <w:sz w:val="20"/>
              </w:rPr>
              <w:t xml:space="preserve"> term equity investments in accordance with paragraph 1 shall not revert back to an approach that does not include long-term equity investments. </w:t>
            </w:r>
          </w:p>
          <w:p w14:paraId="4583B7FB" w14:textId="59A2FE72" w:rsidR="002B3376" w:rsidRPr="00A10663" w:rsidRDefault="005E22AF" w:rsidP="008368C9">
            <w:pPr>
              <w:spacing w:after="0" w:line="259" w:lineRule="auto"/>
              <w:ind w:left="2" w:right="71" w:firstLine="0"/>
              <w:jc w:val="left"/>
            </w:pPr>
            <w:r w:rsidRPr="00A10663">
              <w:rPr>
                <w:sz w:val="20"/>
              </w:rPr>
              <w:t>Where an insurance or reinsurance undertaking that treats a sub-set of equity investments as long-term equity investments is no longer able to comply with the conditions set out in paragraph 1, it shall immediately inform the supervisory authority and shall cease to apply Article 169(1)(b), (2)(b), (3)(b) and (4)(b) to any of its equity investments for a period of 36 months.’;</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D61A2" w14:textId="77777777" w:rsidR="005E22AF" w:rsidRPr="00A10663" w:rsidRDefault="005E22AF" w:rsidP="005E22AF">
            <w:pPr>
              <w:spacing w:after="101" w:line="259" w:lineRule="auto"/>
              <w:ind w:left="0" w:firstLine="0"/>
              <w:jc w:val="left"/>
            </w:pPr>
            <w:r w:rsidRPr="00A10663">
              <w:rPr>
                <w:sz w:val="20"/>
              </w:rPr>
              <w:t xml:space="preserve">The requirement is changed as follows: </w:t>
            </w:r>
          </w:p>
          <w:p w14:paraId="726754FF" w14:textId="77777777" w:rsidR="005E22AF" w:rsidRPr="00A10663" w:rsidRDefault="005E22AF" w:rsidP="005E22AF">
            <w:pPr>
              <w:spacing w:after="0" w:line="259" w:lineRule="auto"/>
              <w:ind w:left="0" w:firstLine="0"/>
              <w:jc w:val="left"/>
              <w:rPr>
                <w:bCs/>
                <w:iCs/>
                <w:sz w:val="20"/>
              </w:rPr>
            </w:pPr>
          </w:p>
          <w:p w14:paraId="79019DBD" w14:textId="1456E268" w:rsidR="005E22AF" w:rsidRPr="00A10663" w:rsidRDefault="005E22AF" w:rsidP="005E22AF">
            <w:pPr>
              <w:spacing w:after="101" w:line="259" w:lineRule="auto"/>
              <w:ind w:left="0" w:firstLine="0"/>
              <w:jc w:val="left"/>
              <w:rPr>
                <w:sz w:val="20"/>
              </w:rPr>
            </w:pPr>
            <w:r w:rsidRPr="00A10663">
              <w:rPr>
                <w:bCs/>
                <w:iCs/>
                <w:sz w:val="20"/>
                <w:lang w:val="en-GB"/>
              </w:rPr>
              <w:t>Insurance or reinsurance undertakings that treat a sub-set of equity investments as long-term equity investments in accordance with paragraph 1 shall not revert back to an approach that does not include long-term equity investments.</w:t>
            </w:r>
            <w:r w:rsidRPr="00A10663">
              <w:rPr>
                <w:bCs/>
                <w:iCs/>
                <w:sz w:val="20"/>
                <w:lang w:val="en-GB"/>
              </w:rPr>
              <w:br/>
              <w:t xml:space="preserve">Where an insurance or reinsurance undertaking that treats a sub-set of equity investments as long-term equity investments no longer complies with the conditions laid down in paragraph 1, it shall immediately inform the supervisory authority and take the necessary measures to restore compliance. </w:t>
            </w:r>
            <w:r w:rsidRPr="00A10663">
              <w:rPr>
                <w:bCs/>
                <w:iCs/>
                <w:sz w:val="20"/>
                <w:lang w:val="en-GB"/>
              </w:rPr>
              <w:br/>
              <w:t>Within one month of the date of the first observation of non-compliance with the conditions set out in paragraph 1, the insurance or reinsurance undertaking shall provide the supervisory authority with the necessary information and the actions to be taken by the undertaking to achieve, within six months of the date of the first observation of non-compliance, the re-establishment of compliance with those conditions.</w:t>
            </w:r>
            <w:r w:rsidRPr="00A10663">
              <w:rPr>
                <w:bCs/>
                <w:iCs/>
                <w:sz w:val="20"/>
                <w:lang w:val="en-GB"/>
              </w:rPr>
              <w:br/>
              <w:t xml:space="preserve">Where the undertaking is not able to restore compliance within six months of the date of the first observation of non-compliance, it shall cease to classify any equity investment as a long-term equity investment in accordance with this Article for a period of two and a half years, or as long as compliance with the criteria is not restored, whichever period is longer.  </w:t>
            </w:r>
          </w:p>
        </w:tc>
      </w:tr>
    </w:tbl>
    <w:p w14:paraId="01E8AFD5" w14:textId="77777777" w:rsidR="002B3376" w:rsidRPr="00A10663" w:rsidRDefault="000C4AB1" w:rsidP="00BD6C7D">
      <w:pPr>
        <w:spacing w:after="104" w:line="259" w:lineRule="auto"/>
        <w:ind w:left="0" w:firstLine="0"/>
        <w:jc w:val="left"/>
      </w:pPr>
      <w:r w:rsidRPr="00A10663">
        <w:rPr>
          <w:sz w:val="24"/>
        </w:rPr>
        <w:t xml:space="preserve"> </w:t>
      </w:r>
    </w:p>
    <w:p w14:paraId="760E7576" w14:textId="086592F6" w:rsidR="002B3376" w:rsidRPr="00A10663" w:rsidRDefault="000C4AB1" w:rsidP="00BD6C7D">
      <w:pPr>
        <w:ind w:left="720" w:right="204" w:firstLine="0"/>
      </w:pPr>
      <w:r w:rsidRPr="00A10663">
        <w:t xml:space="preserve">Information on the application of LTE should be provided in the tab “SF - Equity risk”. </w:t>
      </w:r>
    </w:p>
    <w:p w14:paraId="29AC447A" w14:textId="77777777" w:rsidR="00EC7945" w:rsidRPr="00A10663" w:rsidRDefault="00EC7945" w:rsidP="00BD6C7D">
      <w:pPr>
        <w:ind w:left="720" w:right="204" w:firstLine="0"/>
      </w:pPr>
    </w:p>
    <w:p w14:paraId="107C59B0" w14:textId="44F21D5D" w:rsidR="008C2726" w:rsidRPr="00A10663" w:rsidRDefault="008C2726" w:rsidP="00805F28">
      <w:pPr>
        <w:pStyle w:val="Heading5"/>
        <w:tabs>
          <w:tab w:val="center" w:pos="3310"/>
        </w:tabs>
        <w:ind w:left="0" w:firstLine="0"/>
      </w:pPr>
      <w:r w:rsidRPr="00A10663">
        <w:lastRenderedPageBreak/>
        <w:t xml:space="preserve">3.3.1.8. Natural catastrophe </w:t>
      </w:r>
      <w:r w:rsidR="006E5DA3" w:rsidRPr="00A10663">
        <w:t>risk</w:t>
      </w:r>
      <w:r w:rsidRPr="00A10663">
        <w:t xml:space="preserve">  </w:t>
      </w:r>
    </w:p>
    <w:p w14:paraId="20F369E9" w14:textId="49D62DF5" w:rsidR="001712D2" w:rsidRPr="00A10663" w:rsidRDefault="00C84767" w:rsidP="00BD6C7D">
      <w:pPr>
        <w:numPr>
          <w:ilvl w:val="0"/>
          <w:numId w:val="5"/>
        </w:numPr>
        <w:spacing w:after="113"/>
        <w:ind w:right="204" w:hanging="566"/>
      </w:pPr>
      <w:r w:rsidRPr="00A10663">
        <w:t xml:space="preserve">EIOPA has published </w:t>
      </w:r>
      <w:r w:rsidR="00677D0D" w:rsidRPr="00A10663">
        <w:t xml:space="preserve">an </w:t>
      </w:r>
      <w:r w:rsidR="00D07A72" w:rsidRPr="00A10663">
        <w:t>Opinion on the 2023/2024 Reassessment of the Nat Cat Standard Formula</w:t>
      </w:r>
      <w:r w:rsidR="00C91D78" w:rsidRPr="00A10663">
        <w:rPr>
          <w:rStyle w:val="FootnoteReference"/>
        </w:rPr>
        <w:footnoteReference w:id="17"/>
      </w:r>
      <w:r w:rsidR="00D07A72" w:rsidRPr="00A10663">
        <w:t>. Here, EIOPA</w:t>
      </w:r>
      <w:r w:rsidR="00677D0D" w:rsidRPr="00A10663">
        <w:t xml:space="preserve"> advice</w:t>
      </w:r>
      <w:r w:rsidR="00D07A72" w:rsidRPr="00A10663">
        <w:t>s</w:t>
      </w:r>
      <w:r w:rsidR="00677D0D" w:rsidRPr="00A10663">
        <w:t xml:space="preserve"> to revise </w:t>
      </w:r>
      <w:r w:rsidR="00D07A72" w:rsidRPr="00A10663">
        <w:t>certain</w:t>
      </w:r>
      <w:r w:rsidR="00677D0D" w:rsidRPr="00A10663">
        <w:t xml:space="preserve"> natural catastrophe risk parameters. </w:t>
      </w:r>
      <w:r w:rsidR="008732EE" w:rsidRPr="00A10663">
        <w:t xml:space="preserve">The adoption of the new parameters </w:t>
      </w:r>
      <w:r w:rsidR="00DE1329" w:rsidRPr="00A10663">
        <w:t>is under the Solvency II review mandate. As such, these revised parameters are included in this impact assessment.</w:t>
      </w:r>
    </w:p>
    <w:p w14:paraId="5D551934" w14:textId="71079048" w:rsidR="00B46C28" w:rsidRPr="00A10663" w:rsidRDefault="0014159E" w:rsidP="00805F28">
      <w:pPr>
        <w:numPr>
          <w:ilvl w:val="0"/>
          <w:numId w:val="5"/>
        </w:numPr>
        <w:spacing w:after="113"/>
        <w:ind w:right="204" w:hanging="566"/>
      </w:pPr>
      <w:r w:rsidRPr="00A10663">
        <w:t>The tables</w:t>
      </w:r>
      <w:r w:rsidR="00E508CA" w:rsidRPr="00A10663">
        <w:t xml:space="preserve"> in the file </w:t>
      </w:r>
      <w:r w:rsidR="00E508CA" w:rsidRPr="00A10663">
        <w:rPr>
          <w:b/>
          <w:bCs/>
        </w:rPr>
        <w:t xml:space="preserve">“2023 2024 Reassessment Exercise of </w:t>
      </w:r>
      <w:proofErr w:type="spellStart"/>
      <w:r w:rsidR="00E508CA" w:rsidRPr="00A10663">
        <w:rPr>
          <w:b/>
          <w:bCs/>
        </w:rPr>
        <w:t>natcat</w:t>
      </w:r>
      <w:proofErr w:type="spellEnd"/>
      <w:r w:rsidR="00E508CA" w:rsidRPr="00A10663">
        <w:rPr>
          <w:b/>
          <w:bCs/>
        </w:rPr>
        <w:t xml:space="preserve"> risks - Zonal </w:t>
      </w:r>
      <w:proofErr w:type="spellStart"/>
      <w:r w:rsidR="00E508CA" w:rsidRPr="00A10663">
        <w:rPr>
          <w:b/>
          <w:bCs/>
        </w:rPr>
        <w:t>Calibration_all</w:t>
      </w:r>
      <w:proofErr w:type="spellEnd"/>
      <w:r w:rsidR="00E508CA" w:rsidRPr="00A10663">
        <w:rPr>
          <w:b/>
          <w:bCs/>
        </w:rPr>
        <w:t>”</w:t>
      </w:r>
      <w:r w:rsidR="00845F4E" w:rsidRPr="00A10663">
        <w:rPr>
          <w:b/>
          <w:bCs/>
        </w:rPr>
        <w:t xml:space="preserve">, </w:t>
      </w:r>
      <w:r w:rsidR="00845F4E" w:rsidRPr="00A10663">
        <w:t>which is provided alongside with this impact assessment,</w:t>
      </w:r>
      <w:r w:rsidR="00E508CA" w:rsidRPr="00A10663">
        <w:t xml:space="preserve"> </w:t>
      </w:r>
      <w:r w:rsidRPr="00A10663">
        <w:t xml:space="preserve">provide a summary of the (re)calibrated </w:t>
      </w:r>
      <w:r w:rsidR="00B3146E" w:rsidRPr="00A10663">
        <w:t xml:space="preserve">country factor </w:t>
      </w:r>
      <w:r w:rsidRPr="00A10663">
        <w:t>parameters</w:t>
      </w:r>
      <w:r w:rsidR="00B3146E" w:rsidRPr="00A10663">
        <w:t xml:space="preserve"> for the various perils</w:t>
      </w:r>
      <w:r w:rsidRPr="00A10663">
        <w:t xml:space="preserve">. </w:t>
      </w:r>
      <w:r w:rsidR="003D14A4" w:rsidRPr="00A10663">
        <w:t xml:space="preserve">These </w:t>
      </w:r>
      <w:r w:rsidR="006D08BD" w:rsidRPr="00A10663">
        <w:t xml:space="preserve">country factors </w:t>
      </w:r>
      <w:r w:rsidR="003D14A4" w:rsidRPr="00A10663">
        <w:t xml:space="preserve">are given on the sheet </w:t>
      </w:r>
      <w:r w:rsidR="003D14A4" w:rsidRPr="00A10663">
        <w:rPr>
          <w:b/>
          <w:bCs/>
        </w:rPr>
        <w:t>“Country factors for perils”</w:t>
      </w:r>
      <w:r w:rsidR="003D14A4" w:rsidRPr="00A10663">
        <w:t xml:space="preserve">. </w:t>
      </w:r>
      <w:r w:rsidR="009917BF" w:rsidRPr="00A10663">
        <w:t>Only t</w:t>
      </w:r>
      <w:r w:rsidRPr="00A10663">
        <w:t>he cases where the reassessment result</w:t>
      </w:r>
      <w:r w:rsidR="009917BF" w:rsidRPr="00A10663">
        <w:t>ed</w:t>
      </w:r>
      <w:r w:rsidRPr="00A10663">
        <w:t xml:space="preserve"> in a change of </w:t>
      </w:r>
      <w:r w:rsidR="00570186" w:rsidRPr="00A10663">
        <w:t xml:space="preserve">(some of the) </w:t>
      </w:r>
      <w:r w:rsidRPr="00A10663">
        <w:t>calibration</w:t>
      </w:r>
      <w:r w:rsidR="009917BF" w:rsidRPr="00A10663">
        <w:t xml:space="preserve"> are included.</w:t>
      </w:r>
      <w:r w:rsidR="002F7616" w:rsidRPr="00A10663">
        <w:t xml:space="preserve"> </w:t>
      </w:r>
      <w:r w:rsidR="00B3146E" w:rsidRPr="00A10663">
        <w:t xml:space="preserve">Furthermore, for each peril the adjusted </w:t>
      </w:r>
      <w:r w:rsidR="00D0185E" w:rsidRPr="00A10663">
        <w:t>correlation coefficients for regions are provided</w:t>
      </w:r>
      <w:r w:rsidR="00D45A1B" w:rsidRPr="00A10663">
        <w:t xml:space="preserve"> </w:t>
      </w:r>
      <w:r w:rsidR="00D0185E" w:rsidRPr="00A10663">
        <w:t xml:space="preserve">in accordance </w:t>
      </w:r>
      <w:r w:rsidR="00A37849" w:rsidRPr="00A10663">
        <w:t>with Annex</w:t>
      </w:r>
      <w:r w:rsidR="00EA1F1F" w:rsidRPr="00A10663">
        <w:t xml:space="preserve"> 2: Correlations coefficients for Region</w:t>
      </w:r>
      <w:r w:rsidR="00310057" w:rsidRPr="00A10663">
        <w:t xml:space="preserve"> in</w:t>
      </w:r>
      <w:r w:rsidR="00D0185E" w:rsidRPr="00A10663">
        <w:t xml:space="preserve"> </w:t>
      </w:r>
      <w:r w:rsidR="00641CE6" w:rsidRPr="00A10663">
        <w:t>EIOPA’s Opinion</w:t>
      </w:r>
      <w:r w:rsidR="00D0185E" w:rsidRPr="00A10663">
        <w:t xml:space="preserve">. </w:t>
      </w:r>
      <w:r w:rsidR="006D08BD" w:rsidRPr="00A10663">
        <w:t>These</w:t>
      </w:r>
      <w:r w:rsidR="00AB5DE4" w:rsidRPr="00A10663">
        <w:t xml:space="preserve"> adjusted correlation coefficients are given on the sheet </w:t>
      </w:r>
      <w:r w:rsidR="00AB5DE4" w:rsidRPr="00A10663">
        <w:rPr>
          <w:b/>
          <w:bCs/>
        </w:rPr>
        <w:t>“</w:t>
      </w:r>
      <w:r w:rsidR="00906246" w:rsidRPr="00A10663">
        <w:rPr>
          <w:b/>
          <w:bCs/>
        </w:rPr>
        <w:t>Correlation</w:t>
      </w:r>
      <w:r w:rsidR="003F12A1" w:rsidRPr="00A10663">
        <w:rPr>
          <w:b/>
          <w:bCs/>
        </w:rPr>
        <w:t xml:space="preserve"> coefficients</w:t>
      </w:r>
      <w:r w:rsidR="00AB5DE4" w:rsidRPr="00A10663">
        <w:rPr>
          <w:b/>
          <w:bCs/>
        </w:rPr>
        <w:t>”</w:t>
      </w:r>
      <w:r w:rsidR="00906246" w:rsidRPr="00A10663">
        <w:t xml:space="preserve">. </w:t>
      </w:r>
      <w:r w:rsidR="002F7616" w:rsidRPr="00A10663">
        <w:t xml:space="preserve">For the Netherlands, the newly introduced flood risk parameter is set 0.035% and the hail factor is increased from </w:t>
      </w:r>
      <w:r w:rsidR="009570FD" w:rsidRPr="00A10663">
        <w:t>0.02% to 0.03%.</w:t>
      </w:r>
      <w:r w:rsidR="00BD1AEC" w:rsidRPr="00A10663">
        <w:t xml:space="preserve"> For the recalibrated </w:t>
      </w:r>
      <w:r w:rsidR="00EF1EEC" w:rsidRPr="00A10663">
        <w:t xml:space="preserve">zonal weights and </w:t>
      </w:r>
      <w:r w:rsidR="004018B9" w:rsidRPr="00A10663">
        <w:t xml:space="preserve">zonal </w:t>
      </w:r>
      <w:r w:rsidR="00BD1AEC" w:rsidRPr="00A10663">
        <w:t>aggregation matrices</w:t>
      </w:r>
      <w:r w:rsidR="000E3C1C" w:rsidRPr="00A10663">
        <w:t xml:space="preserve"> </w:t>
      </w:r>
      <w:r w:rsidR="00BD1AEC" w:rsidRPr="00A10663">
        <w:t xml:space="preserve">we </w:t>
      </w:r>
      <w:r w:rsidR="00E508CA" w:rsidRPr="00A10663">
        <w:t xml:space="preserve">also </w:t>
      </w:r>
      <w:r w:rsidR="00BD1AEC" w:rsidRPr="00A10663">
        <w:t>refer to</w:t>
      </w:r>
      <w:r w:rsidR="00356BD9" w:rsidRPr="00A10663">
        <w:t xml:space="preserve"> </w:t>
      </w:r>
      <w:r w:rsidR="00022CC4" w:rsidRPr="00A10663">
        <w:t xml:space="preserve">“2023 2024 Reassessment Exercise of </w:t>
      </w:r>
      <w:proofErr w:type="spellStart"/>
      <w:r w:rsidR="00022CC4" w:rsidRPr="00A10663">
        <w:t>natcat</w:t>
      </w:r>
      <w:proofErr w:type="spellEnd"/>
      <w:r w:rsidR="00022CC4" w:rsidRPr="00A10663">
        <w:t xml:space="preserve"> risks - Zonal Calibration_all.xlsx”</w:t>
      </w:r>
      <w:r w:rsidR="00022CC4" w:rsidRPr="00A10663">
        <w:rPr>
          <w:b/>
          <w:bCs/>
        </w:rPr>
        <w:t xml:space="preserve"> </w:t>
      </w:r>
      <w:r w:rsidR="00356BD9" w:rsidRPr="00A10663">
        <w:t>file</w:t>
      </w:r>
      <w:r w:rsidR="004C491F" w:rsidRPr="00A10663">
        <w:t>.</w:t>
      </w:r>
      <w:r w:rsidR="004018B9" w:rsidRPr="00A10663">
        <w:t xml:space="preserve"> </w:t>
      </w:r>
    </w:p>
    <w:p w14:paraId="2683E63B" w14:textId="79A929FD" w:rsidR="00AD3565" w:rsidRPr="00A10663" w:rsidRDefault="00B46C28" w:rsidP="00880236">
      <w:pPr>
        <w:spacing w:after="113"/>
        <w:ind w:right="204" w:hanging="3"/>
      </w:pPr>
      <w:r w:rsidRPr="00A10663">
        <w:t xml:space="preserve">Adjusted </w:t>
      </w:r>
      <w:r w:rsidR="00BA2032" w:rsidRPr="00A10663">
        <w:t>country factors</w:t>
      </w:r>
      <w:r w:rsidR="00AD3565" w:rsidRPr="00A10663">
        <w:t>,</w:t>
      </w:r>
      <w:r w:rsidR="00BA2032" w:rsidRPr="00A10663">
        <w:t xml:space="preserve"> </w:t>
      </w:r>
      <w:r w:rsidR="003C5212" w:rsidRPr="00A10663">
        <w:t>possibly included with adjusted correlation coefficients</w:t>
      </w:r>
      <w:r w:rsidR="00AD3565" w:rsidRPr="00A10663">
        <w:t>,</w:t>
      </w:r>
      <w:r w:rsidR="003C5212" w:rsidRPr="00A10663">
        <w:t xml:space="preserve"> are given for:</w:t>
      </w:r>
    </w:p>
    <w:p w14:paraId="3926DA41" w14:textId="77777777" w:rsidR="00BD6C7D" w:rsidRPr="00A10663" w:rsidRDefault="00BD6C7D" w:rsidP="003C5212">
      <w:pPr>
        <w:spacing w:after="113"/>
        <w:ind w:right="204"/>
      </w:pPr>
    </w:p>
    <w:p w14:paraId="74925999" w14:textId="0A6B2868" w:rsidR="00326D30" w:rsidRPr="00A10663" w:rsidRDefault="003C5212" w:rsidP="00BD6C7D">
      <w:pPr>
        <w:pStyle w:val="Heading5"/>
        <w:numPr>
          <w:ilvl w:val="0"/>
          <w:numId w:val="50"/>
        </w:numPr>
      </w:pPr>
      <w:r w:rsidRPr="00A10663">
        <w:t>E</w:t>
      </w:r>
      <w:r w:rsidR="00326D30" w:rsidRPr="00A10663">
        <w:t>arthquake</w:t>
      </w:r>
      <w:r w:rsidRPr="00A10663">
        <w:t xml:space="preserve"> </w:t>
      </w:r>
      <w:r w:rsidRPr="00A10663">
        <w:rPr>
          <w:b w:val="0"/>
          <w:bCs/>
        </w:rPr>
        <w:t>(</w:t>
      </w:r>
      <w:r w:rsidR="00C6388E" w:rsidRPr="00A10663">
        <w:rPr>
          <w:b w:val="0"/>
          <w:bCs/>
        </w:rPr>
        <w:t>only country factors)</w:t>
      </w:r>
    </w:p>
    <w:p w14:paraId="73F76F50" w14:textId="06B745F4" w:rsidR="00083F0F" w:rsidRPr="00A10663" w:rsidRDefault="00083F0F" w:rsidP="00880236">
      <w:pPr>
        <w:ind w:left="0" w:firstLine="0"/>
        <w:rPr>
          <w:b/>
        </w:rPr>
      </w:pPr>
    </w:p>
    <w:p w14:paraId="69CC95BF" w14:textId="5C10241E" w:rsidR="00326D30" w:rsidRPr="00A10663" w:rsidRDefault="00326D30" w:rsidP="00BD6C7D">
      <w:pPr>
        <w:pStyle w:val="Heading5"/>
        <w:numPr>
          <w:ilvl w:val="0"/>
          <w:numId w:val="50"/>
        </w:numPr>
      </w:pPr>
      <w:r w:rsidRPr="00A10663">
        <w:t>Flood</w:t>
      </w:r>
      <w:r w:rsidR="00C6388E" w:rsidRPr="00A10663">
        <w:t xml:space="preserve"> </w:t>
      </w:r>
      <w:r w:rsidR="00C6388E" w:rsidRPr="00A10663">
        <w:rPr>
          <w:b w:val="0"/>
          <w:bCs/>
        </w:rPr>
        <w:t>(country factors and flood correlations)</w:t>
      </w:r>
    </w:p>
    <w:p w14:paraId="59CA49FD" w14:textId="4CCA29BE" w:rsidR="00BD6C7D" w:rsidRPr="00A10663" w:rsidRDefault="00326D30" w:rsidP="00880236">
      <w:pPr>
        <w:rPr>
          <w:b/>
        </w:rPr>
      </w:pPr>
      <w:r w:rsidRPr="00A10663">
        <w:t xml:space="preserve"> </w:t>
      </w:r>
    </w:p>
    <w:p w14:paraId="7D619CC0" w14:textId="63D9DF44" w:rsidR="00326D30" w:rsidRPr="00A10663" w:rsidRDefault="00C6388E" w:rsidP="00BD6C7D">
      <w:pPr>
        <w:pStyle w:val="Heading5"/>
        <w:numPr>
          <w:ilvl w:val="0"/>
          <w:numId w:val="50"/>
        </w:numPr>
      </w:pPr>
      <w:r w:rsidRPr="00A10663">
        <w:t>Wi</w:t>
      </w:r>
      <w:r w:rsidR="00326D30" w:rsidRPr="00A10663">
        <w:t>ndstorm</w:t>
      </w:r>
      <w:r w:rsidRPr="00A10663">
        <w:t xml:space="preserve"> </w:t>
      </w:r>
      <w:r w:rsidRPr="00A10663">
        <w:rPr>
          <w:b w:val="0"/>
          <w:bCs/>
        </w:rPr>
        <w:t>(</w:t>
      </w:r>
      <w:r w:rsidR="00431C98" w:rsidRPr="00A10663">
        <w:rPr>
          <w:b w:val="0"/>
          <w:bCs/>
        </w:rPr>
        <w:t xml:space="preserve">Only </w:t>
      </w:r>
      <w:r w:rsidRPr="00A10663">
        <w:rPr>
          <w:b w:val="0"/>
          <w:bCs/>
        </w:rPr>
        <w:t>country factors</w:t>
      </w:r>
      <w:r w:rsidR="00431C98" w:rsidRPr="00A10663">
        <w:rPr>
          <w:b w:val="0"/>
          <w:bCs/>
        </w:rPr>
        <w:t>)</w:t>
      </w:r>
    </w:p>
    <w:p w14:paraId="76CC7787" w14:textId="2755BD37" w:rsidR="00326D30" w:rsidRPr="00A10663" w:rsidRDefault="00326D30" w:rsidP="0065180B"/>
    <w:p w14:paraId="1D1263F7" w14:textId="1F48A9F8" w:rsidR="00326D30" w:rsidRPr="00A10663" w:rsidRDefault="00431C98" w:rsidP="0065180B">
      <w:pPr>
        <w:pStyle w:val="Heading5"/>
        <w:numPr>
          <w:ilvl w:val="1"/>
          <w:numId w:val="51"/>
        </w:numPr>
        <w:ind w:left="630"/>
        <w:rPr>
          <w:b w:val="0"/>
          <w:bCs/>
        </w:rPr>
      </w:pPr>
      <w:r w:rsidRPr="00A10663">
        <w:t xml:space="preserve">Hail </w:t>
      </w:r>
      <w:r w:rsidRPr="00A10663">
        <w:rPr>
          <w:b w:val="0"/>
          <w:bCs/>
        </w:rPr>
        <w:t>(Country factors</w:t>
      </w:r>
      <w:r w:rsidR="00616C83" w:rsidRPr="00A10663">
        <w:rPr>
          <w:b w:val="0"/>
          <w:bCs/>
        </w:rPr>
        <w:t xml:space="preserve"> </w:t>
      </w:r>
      <w:r w:rsidR="006C5D0C" w:rsidRPr="00A10663">
        <w:rPr>
          <w:b w:val="0"/>
          <w:bCs/>
        </w:rPr>
        <w:t xml:space="preserve">and </w:t>
      </w:r>
      <w:r w:rsidR="0068375A" w:rsidRPr="00A10663">
        <w:rPr>
          <w:b w:val="0"/>
          <w:bCs/>
        </w:rPr>
        <w:t>correlations)</w:t>
      </w:r>
    </w:p>
    <w:p w14:paraId="2DC90D94" w14:textId="4C60A62B" w:rsidR="00326D30" w:rsidRPr="00A10663" w:rsidRDefault="00326D30" w:rsidP="00880236">
      <w:pPr>
        <w:ind w:left="0" w:firstLine="0"/>
      </w:pPr>
    </w:p>
    <w:p w14:paraId="0D49A958" w14:textId="058B9402" w:rsidR="00326D30" w:rsidRPr="00A10663" w:rsidRDefault="007C0F87" w:rsidP="0065180B">
      <w:pPr>
        <w:pStyle w:val="Heading5"/>
        <w:numPr>
          <w:ilvl w:val="1"/>
          <w:numId w:val="51"/>
        </w:numPr>
        <w:ind w:left="630"/>
        <w:rPr>
          <w:b w:val="0"/>
          <w:bCs/>
        </w:rPr>
      </w:pPr>
      <w:r w:rsidRPr="00A10663">
        <w:t>S</w:t>
      </w:r>
      <w:r w:rsidR="00326D30" w:rsidRPr="00A10663">
        <w:t>ubsidence</w:t>
      </w:r>
      <w:r w:rsidRPr="00A10663">
        <w:t xml:space="preserve"> </w:t>
      </w:r>
      <w:r w:rsidRPr="00A10663">
        <w:rPr>
          <w:b w:val="0"/>
          <w:bCs/>
        </w:rPr>
        <w:t>(</w:t>
      </w:r>
      <w:r w:rsidR="00616C83" w:rsidRPr="00A10663">
        <w:rPr>
          <w:b w:val="0"/>
          <w:bCs/>
        </w:rPr>
        <w:t>Country factors and correlations)</w:t>
      </w:r>
    </w:p>
    <w:p w14:paraId="64A66CC0" w14:textId="77777777" w:rsidR="00616C83" w:rsidRPr="00A10663" w:rsidRDefault="00616C83" w:rsidP="00616C83"/>
    <w:p w14:paraId="6217AAFB" w14:textId="77777777" w:rsidR="00616C83" w:rsidRPr="00A10663" w:rsidRDefault="00616C83" w:rsidP="00616C83">
      <w:pPr>
        <w:ind w:left="0" w:firstLine="0"/>
      </w:pPr>
      <w:r w:rsidRPr="00A10663">
        <w:t>An extra table is given for hail which includes the hail factor for motor. This table provides the parameter for article 124(7) of the delegated regulation. That is, the formula there should be replaced by:</w:t>
      </w:r>
    </w:p>
    <w:p w14:paraId="410748C2" w14:textId="77777777" w:rsidR="00616C83" w:rsidRPr="00A10663" w:rsidRDefault="00616C83" w:rsidP="00616C83">
      <w:r w:rsidRPr="00A10663">
        <w:rPr>
          <w:rFonts w:cs="Cambria Math"/>
          <w:lang w:val="nl-NL"/>
        </w:rPr>
        <w:t>𝑆𝐼</w:t>
      </w:r>
      <w:r w:rsidRPr="00A10663">
        <w:t>(</w:t>
      </w:r>
      <w:r w:rsidRPr="00A10663">
        <w:rPr>
          <w:rFonts w:cs="Cambria Math"/>
        </w:rPr>
        <w:t>ℎ</w:t>
      </w:r>
      <w:r w:rsidRPr="00A10663">
        <w:rPr>
          <w:rFonts w:cs="Cambria Math"/>
          <w:lang w:val="nl-NL"/>
        </w:rPr>
        <w:t>𝑎𝑖𝑙</w:t>
      </w:r>
      <w:r w:rsidRPr="00A10663">
        <w:t>,</w:t>
      </w:r>
      <w:r w:rsidRPr="00A10663">
        <w:rPr>
          <w:rFonts w:cs="Cambria Math"/>
          <w:lang w:val="nl-NL"/>
        </w:rPr>
        <w:t>𝑟</w:t>
      </w:r>
      <w:r w:rsidRPr="00A10663">
        <w:t>,</w:t>
      </w:r>
      <w:r w:rsidRPr="00A10663">
        <w:rPr>
          <w:rFonts w:cs="Cambria Math"/>
          <w:lang w:val="nl-NL"/>
        </w:rPr>
        <w:t>𝑖</w:t>
      </w:r>
      <w:r w:rsidRPr="00A10663">
        <w:t xml:space="preserve">) = </w:t>
      </w:r>
      <w:r w:rsidRPr="00A10663">
        <w:rPr>
          <w:rFonts w:cs="Cambria Math"/>
          <w:lang w:val="nl-NL"/>
        </w:rPr>
        <w:t>𝑆𝐼</w:t>
      </w:r>
      <w:r w:rsidRPr="00A10663">
        <w:t>(</w:t>
      </w:r>
      <w:r w:rsidRPr="00A10663">
        <w:rPr>
          <w:rFonts w:cs="Cambria Math"/>
          <w:lang w:val="nl-NL"/>
        </w:rPr>
        <w:t>𝑝𝑟𝑜𝑝𝑒𝑟𝑡𝑦</w:t>
      </w:r>
      <w:r w:rsidRPr="00A10663">
        <w:t>,</w:t>
      </w:r>
      <w:r w:rsidRPr="00A10663">
        <w:rPr>
          <w:rFonts w:cs="Cambria Math"/>
          <w:lang w:val="nl-NL"/>
        </w:rPr>
        <w:t>𝑟</w:t>
      </w:r>
      <w:r w:rsidRPr="00A10663">
        <w:t>,</w:t>
      </w:r>
      <w:r w:rsidRPr="00A10663">
        <w:rPr>
          <w:rFonts w:cs="Cambria Math"/>
          <w:lang w:val="nl-NL"/>
        </w:rPr>
        <w:t>𝑖</w:t>
      </w:r>
      <w:r w:rsidRPr="00A10663">
        <w:t xml:space="preserve">) + </w:t>
      </w:r>
      <w:r w:rsidRPr="00A10663">
        <w:rPr>
          <w:rFonts w:cs="Cambria Math"/>
          <w:lang w:val="nl-NL"/>
        </w:rPr>
        <w:t>𝑆𝐼</w:t>
      </w:r>
      <w:r w:rsidRPr="00A10663">
        <w:t>(</w:t>
      </w:r>
      <w:r w:rsidRPr="00A10663">
        <w:rPr>
          <w:rFonts w:cs="Cambria Math"/>
          <w:lang w:val="nl-NL"/>
        </w:rPr>
        <w:t>𝑜𝑛𝑠</w:t>
      </w:r>
      <w:r w:rsidRPr="00A10663">
        <w:rPr>
          <w:rFonts w:cs="Cambria Math"/>
        </w:rPr>
        <w:t>ℎ</w:t>
      </w:r>
      <w:r w:rsidRPr="00A10663">
        <w:rPr>
          <w:rFonts w:cs="Cambria Math"/>
          <w:lang w:val="nl-NL"/>
        </w:rPr>
        <w:t>𝑜𝑟𝑒</w:t>
      </w:r>
      <w:r w:rsidRPr="00A10663">
        <w:t>−</w:t>
      </w:r>
      <w:r w:rsidRPr="00A10663">
        <w:rPr>
          <w:rFonts w:cs="Cambria Math"/>
          <w:lang w:val="nl-NL"/>
        </w:rPr>
        <w:t>𝑝𝑟𝑜𝑝𝑒𝑟𝑡𝑦</w:t>
      </w:r>
      <w:r w:rsidRPr="00A10663">
        <w:t>,</w:t>
      </w:r>
      <w:r w:rsidRPr="00A10663">
        <w:rPr>
          <w:rFonts w:cs="Cambria Math"/>
          <w:lang w:val="nl-NL"/>
        </w:rPr>
        <w:t>𝑟</w:t>
      </w:r>
      <w:r w:rsidRPr="00A10663">
        <w:t>,</w:t>
      </w:r>
      <w:r w:rsidRPr="00A10663">
        <w:rPr>
          <w:rFonts w:cs="Cambria Math"/>
          <w:lang w:val="nl-NL"/>
        </w:rPr>
        <w:t>𝑖</w:t>
      </w:r>
      <w:r w:rsidRPr="00A10663">
        <w:t xml:space="preserve">) + </w:t>
      </w:r>
      <w:r w:rsidRPr="00A10663">
        <w:rPr>
          <w:b/>
          <w:bCs/>
        </w:rPr>
        <w:t>10</w:t>
      </w:r>
      <w:r w:rsidRPr="00A10663">
        <w:t xml:space="preserve"> </w:t>
      </w:r>
      <w:r w:rsidRPr="00A10663">
        <w:rPr>
          <w:rFonts w:cs="Cambria Math"/>
          <w:lang w:val="nl-NL"/>
        </w:rPr>
        <w:t>𝑆𝐼</w:t>
      </w:r>
      <w:r w:rsidRPr="00A10663">
        <w:t>(</w:t>
      </w:r>
      <w:r w:rsidRPr="00A10663">
        <w:rPr>
          <w:rFonts w:cs="Cambria Math"/>
          <w:lang w:val="nl-NL"/>
        </w:rPr>
        <w:t>𝑚𝑜𝑡𝑜𝑟</w:t>
      </w:r>
      <w:r w:rsidRPr="00A10663">
        <w:t>,</w:t>
      </w:r>
      <w:r w:rsidRPr="00A10663">
        <w:rPr>
          <w:rFonts w:cs="Cambria Math"/>
          <w:lang w:val="nl-NL"/>
        </w:rPr>
        <w:t>𝑟</w:t>
      </w:r>
      <w:r w:rsidRPr="00A10663">
        <w:t>,</w:t>
      </w:r>
      <w:r w:rsidRPr="00A10663">
        <w:rPr>
          <w:rFonts w:cs="Cambria Math"/>
          <w:lang w:val="nl-NL"/>
        </w:rPr>
        <w:t>𝑖</w:t>
      </w:r>
      <w:r w:rsidRPr="00A10663">
        <w:t>).</w:t>
      </w:r>
    </w:p>
    <w:p w14:paraId="24C964E3" w14:textId="77777777" w:rsidR="00616C83" w:rsidRPr="00A10663" w:rsidRDefault="00616C83" w:rsidP="00880236">
      <w:pPr>
        <w:ind w:left="0" w:firstLine="0"/>
      </w:pPr>
    </w:p>
    <w:p w14:paraId="13CBAE98" w14:textId="0A3AA6D3" w:rsidR="002B3376" w:rsidRPr="00A10663" w:rsidRDefault="00326D30" w:rsidP="00BD6C7D">
      <w:pPr>
        <w:pStyle w:val="Heading4"/>
      </w:pPr>
      <w:r w:rsidRPr="00A10663">
        <w:lastRenderedPageBreak/>
        <w:t xml:space="preserve"> </w:t>
      </w:r>
      <w:r w:rsidR="008D2B6D" w:rsidRPr="00A10663">
        <w:t>3</w:t>
      </w:r>
      <w:r w:rsidR="000C4AB1" w:rsidRPr="00A10663">
        <w:t>.</w:t>
      </w:r>
      <w:r w:rsidR="008D2B6D" w:rsidRPr="00A10663">
        <w:t>3</w:t>
      </w:r>
      <w:r w:rsidR="000C4AB1" w:rsidRPr="00A10663">
        <w:t>.2.</w:t>
      </w:r>
      <w:r w:rsidR="000C4AB1" w:rsidRPr="00A10663">
        <w:rPr>
          <w:rFonts w:eastAsia="Arial" w:cs="Arial"/>
        </w:rPr>
        <w:t xml:space="preserve"> </w:t>
      </w:r>
      <w:r w:rsidR="000C4AB1" w:rsidRPr="00A10663">
        <w:t xml:space="preserve">Internal models </w:t>
      </w:r>
    </w:p>
    <w:p w14:paraId="12FA9FFE" w14:textId="422EE046" w:rsidR="00B676E2" w:rsidRPr="00A10663" w:rsidRDefault="00B676E2" w:rsidP="00BD6C7D">
      <w:pPr>
        <w:numPr>
          <w:ilvl w:val="0"/>
          <w:numId w:val="5"/>
        </w:numPr>
        <w:spacing w:after="113"/>
        <w:ind w:right="204" w:hanging="566"/>
      </w:pPr>
      <w:r w:rsidRPr="00A10663">
        <w:t>This section is only relevant to insurers using a (partial) internal model to calculate the SCR.</w:t>
      </w:r>
      <w:r w:rsidR="00902712" w:rsidRPr="00A10663">
        <w:t xml:space="preserve"> Internal model users are invited to, on a voluntary basis, also provide standard formula SCR details</w:t>
      </w:r>
      <w:r w:rsidR="002B3B35" w:rsidRPr="00A10663">
        <w:t xml:space="preserve"> (see </w:t>
      </w:r>
      <w:r w:rsidR="002B3B35" w:rsidRPr="00A10663">
        <w:fldChar w:fldCharType="begin"/>
      </w:r>
      <w:r w:rsidR="002B3B35" w:rsidRPr="00A10663">
        <w:instrText xml:space="preserve"> REF _Ref188905175 \h </w:instrText>
      </w:r>
      <w:r w:rsidR="00A10663" w:rsidRPr="00A10663">
        <w:instrText xml:space="preserve"> \* MERGEFORMAT </w:instrText>
      </w:r>
      <w:r w:rsidR="002B3B35" w:rsidRPr="00A10663">
        <w:fldChar w:fldCharType="separate"/>
      </w:r>
      <w:r w:rsidR="006730B0" w:rsidRPr="00A10663">
        <w:t>3.3.1.</w:t>
      </w:r>
      <w:r w:rsidR="006730B0" w:rsidRPr="00A10663">
        <w:rPr>
          <w:rFonts w:eastAsia="Arial" w:cs="Arial"/>
        </w:rPr>
        <w:t xml:space="preserve"> </w:t>
      </w:r>
      <w:r w:rsidR="006730B0" w:rsidRPr="00A10663">
        <w:t>Standard formula</w:t>
      </w:r>
      <w:r w:rsidR="002B3B35" w:rsidRPr="00A10663">
        <w:fldChar w:fldCharType="end"/>
      </w:r>
      <w:r w:rsidR="002B3B35" w:rsidRPr="00A10663">
        <w:t>)</w:t>
      </w:r>
      <w:r w:rsidR="00902712" w:rsidRPr="00A10663">
        <w:t>.</w:t>
      </w:r>
    </w:p>
    <w:p w14:paraId="5ED9B775" w14:textId="3B8A476C" w:rsidR="00585365" w:rsidRPr="00A10663" w:rsidRDefault="00585365" w:rsidP="0065180B">
      <w:pPr>
        <w:numPr>
          <w:ilvl w:val="0"/>
          <w:numId w:val="5"/>
        </w:numPr>
        <w:spacing w:after="113"/>
        <w:ind w:right="204" w:hanging="566"/>
      </w:pPr>
      <w:r w:rsidRPr="00A10663">
        <w:t>Sheet “</w:t>
      </w:r>
      <w:r w:rsidRPr="00A10663">
        <w:rPr>
          <w:b/>
          <w:bCs/>
        </w:rPr>
        <w:t>IM only – SCR details</w:t>
      </w:r>
      <w:r w:rsidRPr="00A10663">
        <w:t xml:space="preserve">” should be filled in accordance with </w:t>
      </w:r>
      <w:r w:rsidR="0066233F" w:rsidRPr="00A10663">
        <w:t xml:space="preserve">the specifications of </w:t>
      </w:r>
      <w:r w:rsidR="00AD79E8" w:rsidRPr="00A10663">
        <w:t>QRT S.26.08.01.01</w:t>
      </w:r>
      <w:r w:rsidR="00BE37AA" w:rsidRPr="00A10663">
        <w:t xml:space="preserve">. </w:t>
      </w:r>
    </w:p>
    <w:p w14:paraId="44E3D926" w14:textId="77777777" w:rsidR="00B676E2" w:rsidRPr="00A10663" w:rsidRDefault="00B676E2" w:rsidP="00BD6C7D"/>
    <w:p w14:paraId="07F5A935" w14:textId="093FF724" w:rsidR="002B3376" w:rsidRPr="00A10663" w:rsidRDefault="008D2B6D" w:rsidP="00BD6C7D">
      <w:pPr>
        <w:pStyle w:val="Heading5"/>
      </w:pPr>
      <w:r w:rsidRPr="00A10663">
        <w:t>3</w:t>
      </w:r>
      <w:r w:rsidR="000C4AB1" w:rsidRPr="00A10663">
        <w:t>.</w:t>
      </w:r>
      <w:r w:rsidRPr="00A10663">
        <w:t>3</w:t>
      </w:r>
      <w:r w:rsidR="000C4AB1" w:rsidRPr="00A10663">
        <w:t>.2.1.</w:t>
      </w:r>
      <w:r w:rsidR="000C4AB1" w:rsidRPr="00A10663">
        <w:rPr>
          <w:rFonts w:eastAsia="Arial" w:cs="Arial"/>
        </w:rPr>
        <w:t xml:space="preserve"> </w:t>
      </w:r>
      <w:r w:rsidR="000C4AB1" w:rsidRPr="00A10663">
        <w:t xml:space="preserve">Contingent capital or contingent convertible bonds  </w:t>
      </w:r>
    </w:p>
    <w:p w14:paraId="7668FB44" w14:textId="67C44A24" w:rsidR="002B3376" w:rsidRPr="00A10663" w:rsidRDefault="000C4AB1" w:rsidP="00A75E86">
      <w:pPr>
        <w:numPr>
          <w:ilvl w:val="0"/>
          <w:numId w:val="5"/>
        </w:numPr>
        <w:spacing w:after="113"/>
        <w:ind w:right="204" w:hanging="566"/>
      </w:pPr>
      <w:r w:rsidRPr="00A10663">
        <w:t xml:space="preserve">Contingent capital or contingent convertible bonds should not be able to reduce the SCR within internal models. </w:t>
      </w:r>
    </w:p>
    <w:p w14:paraId="5EF9C1F8" w14:textId="77777777" w:rsidR="007D06C8" w:rsidRPr="00A10663" w:rsidRDefault="007D06C8" w:rsidP="00BD6C7D">
      <w:pPr>
        <w:spacing w:after="113"/>
        <w:ind w:left="0" w:right="204" w:firstLine="0"/>
      </w:pPr>
    </w:p>
    <w:p w14:paraId="347C5591" w14:textId="720D6D9D" w:rsidR="002B3376" w:rsidRPr="00A10663" w:rsidRDefault="008D2B6D" w:rsidP="00BD6C7D">
      <w:pPr>
        <w:pStyle w:val="Heading5"/>
      </w:pPr>
      <w:r w:rsidRPr="00A10663">
        <w:t>3</w:t>
      </w:r>
      <w:r w:rsidR="000C4AB1" w:rsidRPr="00A10663">
        <w:t>.</w:t>
      </w:r>
      <w:r w:rsidRPr="00A10663">
        <w:t>3</w:t>
      </w:r>
      <w:r w:rsidR="000C4AB1" w:rsidRPr="00A10663">
        <w:t>.2.2.</w:t>
      </w:r>
      <w:r w:rsidR="000C4AB1" w:rsidRPr="00A10663">
        <w:rPr>
          <w:rFonts w:eastAsia="Arial" w:cs="Arial"/>
        </w:rPr>
        <w:t xml:space="preserve"> </w:t>
      </w:r>
      <w:r w:rsidR="000C4AB1" w:rsidRPr="00A10663">
        <w:t xml:space="preserve">Volatility adjustment in internal models </w:t>
      </w:r>
    </w:p>
    <w:p w14:paraId="7701573A" w14:textId="6E14B417" w:rsidR="009C44E8" w:rsidRPr="00A10663" w:rsidRDefault="000C4AB1" w:rsidP="00A75E86">
      <w:pPr>
        <w:numPr>
          <w:ilvl w:val="0"/>
          <w:numId w:val="5"/>
        </w:numPr>
        <w:spacing w:after="113"/>
        <w:ind w:right="204" w:hanging="566"/>
      </w:pPr>
      <w:r w:rsidRPr="00A10663">
        <w:t xml:space="preserve">This section is only relevant for internal models covering market and credit risk and including a “dynamic VA” (DVA). </w:t>
      </w:r>
    </w:p>
    <w:p w14:paraId="419EE25E" w14:textId="77777777" w:rsidR="002B3376" w:rsidRPr="00A10663" w:rsidRDefault="000C4AB1" w:rsidP="00BD6C7D">
      <w:pPr>
        <w:pStyle w:val="Heading6"/>
        <w:ind w:left="566"/>
      </w:pPr>
      <w:r w:rsidRPr="00A10663">
        <w:rPr>
          <w:i/>
        </w:rPr>
        <w:t xml:space="preserve">DVA – Enhancement of the prudency principle </w:t>
      </w:r>
    </w:p>
    <w:p w14:paraId="616E5ED8" w14:textId="2C513EA3" w:rsidR="002B3376" w:rsidRPr="00A10663" w:rsidRDefault="000C4AB1" w:rsidP="00A75E86">
      <w:pPr>
        <w:numPr>
          <w:ilvl w:val="0"/>
          <w:numId w:val="5"/>
        </w:numPr>
        <w:spacing w:after="113"/>
        <w:ind w:right="204" w:hanging="566"/>
      </w:pPr>
      <w:r w:rsidRPr="00A10663">
        <w:t>To counteract potential overshooting caused by structural difference</w:t>
      </w:r>
      <w:r w:rsidR="003F6CB5" w:rsidRPr="00A10663">
        <w:t xml:space="preserve"> </w:t>
      </w:r>
      <w:r w:rsidR="007B2737" w:rsidRPr="00A10663">
        <w:t>between the</w:t>
      </w:r>
      <w:r w:rsidR="003F6CB5" w:rsidRPr="00A10663">
        <w:t xml:space="preserve"> risk corrected spreads of the own portfolio</w:t>
      </w:r>
      <w:r w:rsidR="007B2737" w:rsidRPr="00A10663">
        <w:t xml:space="preserve"> and that of the reference portfolio</w:t>
      </w:r>
      <w:r w:rsidRPr="00A10663">
        <w:t xml:space="preserve">, </w:t>
      </w:r>
      <w:r w:rsidR="00144FA0" w:rsidRPr="00A10663">
        <w:t>the Solvency II amending directive</w:t>
      </w:r>
      <w:r w:rsidR="00E2778E" w:rsidRPr="00A10663">
        <w:t xml:space="preserve"> article</w:t>
      </w:r>
      <w:r w:rsidR="004A3AF5" w:rsidRPr="00A10663">
        <w:t xml:space="preserve"> 122</w:t>
      </w:r>
      <w:r w:rsidR="001B2DE7" w:rsidRPr="00A10663">
        <w:t>(5)</w:t>
      </w:r>
      <w:r w:rsidR="00144FA0" w:rsidRPr="00A10663">
        <w:t xml:space="preserve"> </w:t>
      </w:r>
      <w:r w:rsidRPr="00A10663">
        <w:t>enhance</w:t>
      </w:r>
      <w:r w:rsidR="00E2778E" w:rsidRPr="00A10663">
        <w:t>s</w:t>
      </w:r>
      <w:r w:rsidRPr="00A10663">
        <w:t xml:space="preserve"> the ‘prudency principle</w:t>
      </w:r>
      <w:r w:rsidR="002C75D6" w:rsidRPr="00A10663">
        <w:rPr>
          <w:rStyle w:val="FootnoteReference"/>
        </w:rPr>
        <w:footnoteReference w:id="18"/>
      </w:r>
      <w:r w:rsidR="00715A13" w:rsidRPr="00A10663">
        <w:t>’</w:t>
      </w:r>
      <w:r w:rsidRPr="00A10663">
        <w:t xml:space="preserve"> </w:t>
      </w:r>
      <w:r w:rsidR="00293325" w:rsidRPr="00A10663">
        <w:t xml:space="preserve">and sets it out in regulations </w:t>
      </w:r>
      <w:r w:rsidRPr="00A10663">
        <w:t xml:space="preserve">as follows: </w:t>
      </w:r>
    </w:p>
    <w:p w14:paraId="6239631A" w14:textId="2FFD856C" w:rsidR="002B3376" w:rsidRPr="00A10663" w:rsidRDefault="000C4AB1" w:rsidP="00BD6C7D">
      <w:pPr>
        <w:ind w:left="1078" w:right="204" w:firstLine="0"/>
      </w:pPr>
      <w:r w:rsidRPr="00A10663">
        <w:t xml:space="preserve">For any DVA approach undertakings should demonstrate that the SCR </w:t>
      </w:r>
      <w:r w:rsidR="007D25EB" w:rsidRPr="00A10663">
        <w:t>not lower than the following:</w:t>
      </w:r>
    </w:p>
    <w:p w14:paraId="4E9BC618" w14:textId="165EB459" w:rsidR="002B3376" w:rsidRPr="00A10663" w:rsidRDefault="006521BD" w:rsidP="00BD6C7D">
      <w:pPr>
        <w:numPr>
          <w:ilvl w:val="2"/>
          <w:numId w:val="33"/>
        </w:numPr>
        <w:ind w:right="204" w:hanging="720"/>
      </w:pPr>
      <w:r w:rsidRPr="00A10663">
        <w:t>The solvency capital requirement while r</w:t>
      </w:r>
      <w:r w:rsidR="000C4AB1" w:rsidRPr="00A10663">
        <w:t xml:space="preserve">eplicating the EIOPA VA methodology </w:t>
      </w:r>
      <w:r w:rsidRPr="00A10663">
        <w:t xml:space="preserve">dynamically </w:t>
      </w:r>
      <w:r w:rsidR="00611CB9" w:rsidRPr="00A10663">
        <w:t>(art. 122</w:t>
      </w:r>
      <w:r w:rsidR="008E6D0A" w:rsidRPr="00A10663">
        <w:t xml:space="preserve"> (5) (b) (i))</w:t>
      </w:r>
    </w:p>
    <w:p w14:paraId="490B64E7" w14:textId="0B7E8C24" w:rsidR="002B3376" w:rsidRPr="00A10663" w:rsidRDefault="006521BD" w:rsidP="0065180B">
      <w:pPr>
        <w:numPr>
          <w:ilvl w:val="2"/>
          <w:numId w:val="33"/>
        </w:numPr>
        <w:ind w:right="204" w:hanging="720"/>
      </w:pPr>
      <w:r w:rsidRPr="00A10663">
        <w:t>The solvency capital requirement while r</w:t>
      </w:r>
      <w:r w:rsidR="000C4AB1" w:rsidRPr="00A10663">
        <w:t>eplicating the EIOPA VA methodology but calculating the risk corrected spread on basis of the undertaking’s own asset portfolio</w:t>
      </w:r>
      <w:r w:rsidR="00825D20" w:rsidRPr="00A10663">
        <w:t xml:space="preserve"> dynamically</w:t>
      </w:r>
      <w:r w:rsidR="000C4AB1" w:rsidRPr="00A10663">
        <w:t xml:space="preserve"> </w:t>
      </w:r>
      <w:r w:rsidR="008E6D0A" w:rsidRPr="00A10663">
        <w:t>(art. 122 (5) (b) (ii))</w:t>
      </w:r>
    </w:p>
    <w:p w14:paraId="552AD81F" w14:textId="72DB3B8C" w:rsidR="002B3376" w:rsidRPr="00A10663" w:rsidRDefault="000C4AB1" w:rsidP="00BD6C7D">
      <w:pPr>
        <w:spacing w:after="113"/>
        <w:ind w:left="1078" w:right="204" w:firstLine="0"/>
      </w:pPr>
      <w:r w:rsidRPr="00A10663">
        <w:t xml:space="preserve">This principle should apply to any DVA approach. </w:t>
      </w:r>
    </w:p>
    <w:p w14:paraId="67B1EDCF" w14:textId="77777777" w:rsidR="002B3376" w:rsidRPr="00A10663" w:rsidRDefault="000C4AB1" w:rsidP="00BD6C7D">
      <w:pPr>
        <w:pStyle w:val="Heading6"/>
        <w:ind w:firstLine="556"/>
      </w:pPr>
      <w:r w:rsidRPr="00A10663">
        <w:t xml:space="preserve">DVA – Description of the data request </w:t>
      </w:r>
    </w:p>
    <w:p w14:paraId="0B980A25" w14:textId="50102E94" w:rsidR="00807CA7" w:rsidRPr="00A10663" w:rsidRDefault="00E30E0B" w:rsidP="00BD6C7D">
      <w:pPr>
        <w:numPr>
          <w:ilvl w:val="0"/>
          <w:numId w:val="5"/>
        </w:numPr>
        <w:spacing w:after="113"/>
        <w:ind w:right="204" w:hanging="566"/>
      </w:pPr>
      <w:r w:rsidRPr="00A10663">
        <w:t>This section describes how sheet</w:t>
      </w:r>
      <w:r w:rsidR="00D92B62" w:rsidRPr="00A10663">
        <w:t>s</w:t>
      </w:r>
      <w:r w:rsidRPr="00A10663">
        <w:t xml:space="preserve"> “</w:t>
      </w:r>
      <w:r w:rsidR="00807CA7" w:rsidRPr="00A10663">
        <w:rPr>
          <w:b/>
          <w:bCs/>
        </w:rPr>
        <w:t>IM only – DVA details</w:t>
      </w:r>
      <w:r w:rsidRPr="00A10663">
        <w:t>”</w:t>
      </w:r>
      <w:r w:rsidR="00807CA7" w:rsidRPr="00A10663">
        <w:t xml:space="preserve"> </w:t>
      </w:r>
      <w:r w:rsidR="00D92B62" w:rsidRPr="00A10663">
        <w:t>and “</w:t>
      </w:r>
      <w:r w:rsidR="00D92B62" w:rsidRPr="00A10663">
        <w:rPr>
          <w:b/>
          <w:bCs/>
        </w:rPr>
        <w:t>IM only – VA details</w:t>
      </w:r>
      <w:r w:rsidR="00D92B62" w:rsidRPr="00A10663">
        <w:t xml:space="preserve">” </w:t>
      </w:r>
      <w:r w:rsidR="00807CA7" w:rsidRPr="00A10663">
        <w:t xml:space="preserve">should be filled in. </w:t>
      </w:r>
    </w:p>
    <w:p w14:paraId="478F68D0" w14:textId="5C8417AE" w:rsidR="00E17990" w:rsidRPr="00A10663" w:rsidRDefault="000B73BF" w:rsidP="00BD6C7D">
      <w:pPr>
        <w:numPr>
          <w:ilvl w:val="0"/>
          <w:numId w:val="5"/>
        </w:numPr>
        <w:spacing w:after="113"/>
        <w:ind w:right="204" w:hanging="566"/>
      </w:pPr>
      <w:r w:rsidRPr="00A10663">
        <w:t>On sheet “</w:t>
      </w:r>
      <w:r w:rsidRPr="00A10663">
        <w:rPr>
          <w:b/>
          <w:bCs/>
        </w:rPr>
        <w:t>IM only – DVA details</w:t>
      </w:r>
      <w:r w:rsidRPr="00A10663">
        <w:t>”, t</w:t>
      </w:r>
      <w:r w:rsidR="00523930" w:rsidRPr="00A10663">
        <w:t>he</w:t>
      </w:r>
      <w:r w:rsidR="00825D20" w:rsidRPr="00A10663">
        <w:t xml:space="preserve"> requested</w:t>
      </w:r>
      <w:r w:rsidR="00523930" w:rsidRPr="00A10663">
        <w:t xml:space="preserve"> baseline information</w:t>
      </w:r>
      <w:r w:rsidR="00EF1665" w:rsidRPr="00A10663">
        <w:t xml:space="preserve"> </w:t>
      </w:r>
      <w:r w:rsidR="00523930" w:rsidRPr="00A10663">
        <w:t xml:space="preserve">in </w:t>
      </w:r>
      <w:r w:rsidR="00DE3879" w:rsidRPr="00A10663">
        <w:t xml:space="preserve">columns </w:t>
      </w:r>
      <w:r w:rsidR="00784DEF" w:rsidRPr="00A10663">
        <w:t>E</w:t>
      </w:r>
      <w:r w:rsidR="00DE3879" w:rsidRPr="00A10663">
        <w:t xml:space="preserve"> and </w:t>
      </w:r>
      <w:r w:rsidR="00784DEF" w:rsidRPr="00A10663">
        <w:t>F</w:t>
      </w:r>
      <w:r w:rsidR="00825D20" w:rsidRPr="00A10663">
        <w:t xml:space="preserve"> </w:t>
      </w:r>
      <w:r w:rsidR="00827114" w:rsidRPr="00A10663">
        <w:t xml:space="preserve">should be equal to </w:t>
      </w:r>
      <w:r w:rsidR="00EF456D" w:rsidRPr="00A10663">
        <w:t>those values</w:t>
      </w:r>
      <w:r w:rsidR="00827114" w:rsidRPr="00A10663">
        <w:t xml:space="preserve"> provided in QRT’s S</w:t>
      </w:r>
      <w:r w:rsidR="00EF456D" w:rsidRPr="00A10663">
        <w:t xml:space="preserve">.22.01.01.01 and S.26.08.01.01 for rows </w:t>
      </w:r>
      <w:r w:rsidR="00306333" w:rsidRPr="00A10663">
        <w:t>12-18 and 21-24, respectively</w:t>
      </w:r>
      <w:r w:rsidR="00EF456D" w:rsidRPr="00A10663">
        <w:t>.</w:t>
      </w:r>
      <w:r w:rsidR="00DE3879" w:rsidRPr="00A10663">
        <w:t xml:space="preserve"> </w:t>
      </w:r>
    </w:p>
    <w:p w14:paraId="2FFD0228" w14:textId="3069560B" w:rsidR="002B3376" w:rsidRPr="00A10663" w:rsidRDefault="000C4AB1" w:rsidP="00A75E86">
      <w:pPr>
        <w:numPr>
          <w:ilvl w:val="0"/>
          <w:numId w:val="5"/>
        </w:numPr>
        <w:spacing w:after="113"/>
        <w:ind w:right="204" w:hanging="566"/>
      </w:pPr>
      <w:r w:rsidRPr="00A10663">
        <w:t xml:space="preserve">Changes to the baseline </w:t>
      </w:r>
      <w:r w:rsidR="00CB05C3" w:rsidRPr="00A10663">
        <w:t xml:space="preserve">should </w:t>
      </w:r>
      <w:r w:rsidR="00E7420F" w:rsidRPr="00A10663">
        <w:t>be</w:t>
      </w:r>
      <w:r w:rsidR="00547333" w:rsidRPr="00A10663">
        <w:t xml:space="preserve"> reported</w:t>
      </w:r>
      <w:r w:rsidR="00E7420F" w:rsidRPr="00A10663">
        <w:t xml:space="preserve"> according to the following:</w:t>
      </w:r>
    </w:p>
    <w:p w14:paraId="184877D9" w14:textId="5D0EBE25" w:rsidR="002B3376" w:rsidRPr="00A10663" w:rsidRDefault="005829E8" w:rsidP="005829E8">
      <w:pPr>
        <w:pStyle w:val="ListParagraph"/>
        <w:numPr>
          <w:ilvl w:val="0"/>
          <w:numId w:val="53"/>
        </w:numPr>
        <w:ind w:right="204"/>
      </w:pPr>
      <w:r w:rsidRPr="00A10663">
        <w:t xml:space="preserve">In columns </w:t>
      </w:r>
      <w:r w:rsidR="00547333" w:rsidRPr="00A10663">
        <w:t>H</w:t>
      </w:r>
      <w:r w:rsidR="00430B21" w:rsidRPr="00A10663">
        <w:t xml:space="preserve"> and </w:t>
      </w:r>
      <w:r w:rsidR="00547333" w:rsidRPr="00A10663">
        <w:t>I,</w:t>
      </w:r>
      <w:r w:rsidR="00C12AD7" w:rsidRPr="00A10663">
        <w:t xml:space="preserve"> </w:t>
      </w:r>
      <w:r w:rsidR="00D57412" w:rsidRPr="00A10663">
        <w:t>you</w:t>
      </w:r>
      <w:r w:rsidR="00C12AD7" w:rsidRPr="00A10663">
        <w:t xml:space="preserve"> should report the figures of the expected new regime, except that</w:t>
      </w:r>
      <w:r w:rsidR="00F50F78" w:rsidRPr="00A10663">
        <w:t xml:space="preserve"> the SCR should be based on the current DVA model (without capping it as is required by article 122(5)</w:t>
      </w:r>
      <w:r w:rsidR="007157A6" w:rsidRPr="00A10663">
        <w:t>)</w:t>
      </w:r>
      <w:r w:rsidR="00F50F78" w:rsidRPr="00A10663">
        <w:t>.</w:t>
      </w:r>
      <w:r w:rsidR="00BC43C3" w:rsidRPr="00A10663">
        <w:t xml:space="preserve"> </w:t>
      </w:r>
    </w:p>
    <w:p w14:paraId="012ACBA3" w14:textId="77777777" w:rsidR="00F50F78" w:rsidRPr="00A10663" w:rsidRDefault="00F50F78" w:rsidP="0065180B">
      <w:pPr>
        <w:pStyle w:val="ListParagraph"/>
        <w:ind w:left="1980" w:right="204" w:firstLine="0"/>
      </w:pPr>
    </w:p>
    <w:p w14:paraId="2FFB1752" w14:textId="609298FA" w:rsidR="00180BC7" w:rsidRPr="00A10663" w:rsidRDefault="00F50F78" w:rsidP="009E2B17">
      <w:pPr>
        <w:pStyle w:val="ListParagraph"/>
        <w:numPr>
          <w:ilvl w:val="0"/>
          <w:numId w:val="53"/>
        </w:numPr>
        <w:ind w:right="204"/>
      </w:pPr>
      <w:bookmarkStart w:id="21" w:name="_Ref190288126"/>
      <w:r w:rsidRPr="00A10663">
        <w:lastRenderedPageBreak/>
        <w:t xml:space="preserve">In column </w:t>
      </w:r>
      <w:r w:rsidR="00CB402C" w:rsidRPr="00A10663">
        <w:t>K</w:t>
      </w:r>
      <w:r w:rsidR="00D71048" w:rsidRPr="00A10663">
        <w:t>,</w:t>
      </w:r>
      <w:r w:rsidRPr="00A10663">
        <w:t xml:space="preserve"> </w:t>
      </w:r>
      <w:r w:rsidR="00D57412" w:rsidRPr="00A10663">
        <w:t>you</w:t>
      </w:r>
      <w:r w:rsidRPr="00A10663">
        <w:t xml:space="preserve"> should report the figures of the expected new regime, </w:t>
      </w:r>
      <w:r w:rsidR="00E90F39" w:rsidRPr="00A10663">
        <w:t xml:space="preserve">except that the </w:t>
      </w:r>
      <w:r w:rsidR="00E61CEE" w:rsidRPr="00A10663">
        <w:t>Solvency Capital Requirement</w:t>
      </w:r>
      <w:r w:rsidR="00D56E7F" w:rsidRPr="00A10663">
        <w:t xml:space="preserve"> is calculated where the</w:t>
      </w:r>
      <w:r w:rsidR="00E61CEE" w:rsidRPr="00A10663">
        <w:t xml:space="preserve"> </w:t>
      </w:r>
      <w:r w:rsidR="00E90F39" w:rsidRPr="00A10663">
        <w:t>effect of credit spread movements on the volatility adjustment is taken into account in accordance with the methodology used by EIOPA for the purposes of the publication of technical information pursuant to Article 77e(1), point (c)</w:t>
      </w:r>
      <w:r w:rsidR="009E2B17" w:rsidRPr="00A10663">
        <w:t>.</w:t>
      </w:r>
      <w:r w:rsidR="00D71048" w:rsidRPr="00A10663">
        <w:t xml:space="preserve"> See article 122(5)(b)(i).</w:t>
      </w:r>
      <w:r w:rsidR="009E2B17" w:rsidRPr="00A10663">
        <w:t xml:space="preserve"> </w:t>
      </w:r>
      <w:r w:rsidR="00385265" w:rsidRPr="00A10663">
        <w:t xml:space="preserve">That is, </w:t>
      </w:r>
      <w:r w:rsidR="00D57412" w:rsidRPr="00A10663">
        <w:t>you</w:t>
      </w:r>
      <w:r w:rsidR="00385265" w:rsidRPr="00A10663">
        <w:t xml:space="preserve"> should calculate the DVA offset </w:t>
      </w:r>
      <w:r w:rsidR="00F86C2B" w:rsidRPr="00A10663">
        <w:t xml:space="preserve">to the SCR by replicating the </w:t>
      </w:r>
      <w:r w:rsidR="002E1047" w:rsidRPr="00A10663">
        <w:t>EIOPA VA of the new regime as closely as possible</w:t>
      </w:r>
      <w:r w:rsidR="00E522F5" w:rsidRPr="00A10663">
        <w:t xml:space="preserve"> </w:t>
      </w:r>
      <w:r w:rsidR="00AC3696" w:rsidRPr="00A10663">
        <w:t>for</w:t>
      </w:r>
      <w:r w:rsidR="00E522F5" w:rsidRPr="00A10663">
        <w:t xml:space="preserve"> all spread scenarios</w:t>
      </w:r>
      <w:r w:rsidR="002E1047" w:rsidRPr="00A10663">
        <w:t>.</w:t>
      </w:r>
      <w:bookmarkEnd w:id="21"/>
    </w:p>
    <w:p w14:paraId="636B8C88" w14:textId="77777777" w:rsidR="00180BC7" w:rsidRPr="00A10663" w:rsidRDefault="00180BC7" w:rsidP="0065180B">
      <w:pPr>
        <w:pStyle w:val="ListParagraph"/>
        <w:ind w:left="1980" w:right="204" w:firstLine="0"/>
      </w:pPr>
    </w:p>
    <w:p w14:paraId="486C64BD" w14:textId="76B6077B" w:rsidR="00901199" w:rsidRPr="00A10663" w:rsidRDefault="00D71048" w:rsidP="00901199">
      <w:pPr>
        <w:pStyle w:val="ListParagraph"/>
        <w:numPr>
          <w:ilvl w:val="0"/>
          <w:numId w:val="53"/>
        </w:numPr>
        <w:ind w:right="204"/>
      </w:pPr>
      <w:bookmarkStart w:id="22" w:name="_Ref188902758"/>
      <w:bookmarkStart w:id="23" w:name="_Ref188902500"/>
      <w:r w:rsidRPr="00A10663">
        <w:t xml:space="preserve">In column </w:t>
      </w:r>
      <w:r w:rsidR="007002E6" w:rsidRPr="00A10663">
        <w:t>M</w:t>
      </w:r>
      <w:r w:rsidRPr="00A10663">
        <w:t xml:space="preserve">, </w:t>
      </w:r>
      <w:r w:rsidR="00D57412" w:rsidRPr="00A10663">
        <w:t>you</w:t>
      </w:r>
      <w:r w:rsidR="009F5235" w:rsidRPr="00A10663">
        <w:t xml:space="preserve"> should report the same as in the previous bullet </w:t>
      </w:r>
      <w:r w:rsidR="0023755D" w:rsidRPr="00A10663">
        <w:t xml:space="preserve">except that the representative portfolio for a currency referred to in Article 77d(2), second subparagraph, is determined on the basis of the assets in which the insurance or reinsurance undertaking is investing instead of the assets of all insurance or reinsurance undertakings with insurance or reinsurance obligations denominated in that currency. </w:t>
      </w:r>
      <w:r w:rsidRPr="00A10663">
        <w:t>See article 122(5)(b)(i</w:t>
      </w:r>
      <w:r w:rsidR="009F5235" w:rsidRPr="00A10663">
        <w:t>i</w:t>
      </w:r>
      <w:r w:rsidRPr="00A10663">
        <w:t>).</w:t>
      </w:r>
      <w:bookmarkEnd w:id="22"/>
      <w:r w:rsidRPr="00A10663">
        <w:t xml:space="preserve"> </w:t>
      </w:r>
      <w:bookmarkEnd w:id="23"/>
    </w:p>
    <w:p w14:paraId="41955728" w14:textId="77777777" w:rsidR="00901199" w:rsidRPr="00A10663" w:rsidRDefault="00901199" w:rsidP="0065180B">
      <w:pPr>
        <w:pStyle w:val="ListParagraph"/>
        <w:ind w:left="1980" w:right="204" w:firstLine="0"/>
      </w:pPr>
    </w:p>
    <w:p w14:paraId="70D86DCE" w14:textId="6CD13B94" w:rsidR="009F5235" w:rsidRPr="00A10663" w:rsidRDefault="009F5235" w:rsidP="0065180B">
      <w:pPr>
        <w:pStyle w:val="ListParagraph"/>
        <w:numPr>
          <w:ilvl w:val="0"/>
          <w:numId w:val="53"/>
        </w:numPr>
        <w:ind w:right="204"/>
      </w:pPr>
      <w:bookmarkStart w:id="24" w:name="_Ref188902761"/>
      <w:r w:rsidRPr="00A10663">
        <w:t xml:space="preserve">In column </w:t>
      </w:r>
      <w:r w:rsidR="007002E6" w:rsidRPr="00A10663">
        <w:t>O</w:t>
      </w:r>
      <w:r w:rsidRPr="00A10663">
        <w:t xml:space="preserve">, the undertaking </w:t>
      </w:r>
      <w:r w:rsidR="00937E97" w:rsidRPr="00A10663">
        <w:t>can optionally report the expected new regime with a</w:t>
      </w:r>
      <w:r w:rsidR="00172996" w:rsidRPr="00A10663">
        <w:t xml:space="preserve"> rede</w:t>
      </w:r>
      <w:r w:rsidR="00901199" w:rsidRPr="00A10663">
        <w:t>signed</w:t>
      </w:r>
      <w:r w:rsidR="00172996" w:rsidRPr="00A10663">
        <w:t xml:space="preserve"> internal </w:t>
      </w:r>
      <w:r w:rsidR="00937E97" w:rsidRPr="00A10663">
        <w:t xml:space="preserve">DVA model. That is, if the </w:t>
      </w:r>
      <w:r w:rsidR="00715283" w:rsidRPr="00A10663">
        <w:t>Solvency II review causes the undertaking to redevelop their DVA model, and (prelim</w:t>
      </w:r>
      <w:r w:rsidR="00172996" w:rsidRPr="00A10663">
        <w:t>inary) results are available, these can be reported here.</w:t>
      </w:r>
      <w:bookmarkEnd w:id="24"/>
    </w:p>
    <w:p w14:paraId="0D622F2C" w14:textId="14AD4267" w:rsidR="002B3376" w:rsidRPr="00A10663" w:rsidRDefault="00172996" w:rsidP="00BD6C7D">
      <w:pPr>
        <w:ind w:left="1620" w:right="204" w:firstLine="0"/>
      </w:pPr>
      <w:r w:rsidRPr="00A10663">
        <w:t>In the above, p</w:t>
      </w:r>
      <w:r w:rsidR="000C4AB1" w:rsidRPr="00A10663">
        <w:t xml:space="preserve">lease note:  </w:t>
      </w:r>
    </w:p>
    <w:p w14:paraId="0AB867AE" w14:textId="34A4C0DA" w:rsidR="002B3376" w:rsidRPr="00A10663" w:rsidRDefault="000C4AB1" w:rsidP="00BD6C7D">
      <w:pPr>
        <w:numPr>
          <w:ilvl w:val="3"/>
          <w:numId w:val="31"/>
        </w:numPr>
        <w:ind w:right="204" w:hanging="721"/>
      </w:pPr>
      <w:r w:rsidRPr="00A10663">
        <w:t xml:space="preserve">Own funds have to be determined by applying the VA regime under </w:t>
      </w:r>
      <w:r w:rsidR="00E7420F" w:rsidRPr="00A10663">
        <w:t xml:space="preserve">the expected new regime (see </w:t>
      </w:r>
      <w:r w:rsidR="00E7420F" w:rsidRPr="00A10663">
        <w:fldChar w:fldCharType="begin"/>
      </w:r>
      <w:r w:rsidR="00E7420F" w:rsidRPr="00A10663">
        <w:instrText xml:space="preserve"> REF _Ref188899671 \h </w:instrText>
      </w:r>
      <w:r w:rsidR="00A10663" w:rsidRPr="00A10663">
        <w:instrText xml:space="preserve"> \* MERGEFORMAT </w:instrText>
      </w:r>
      <w:r w:rsidR="00E7420F" w:rsidRPr="00A10663">
        <w:fldChar w:fldCharType="separate"/>
      </w:r>
      <w:r w:rsidR="006730B0" w:rsidRPr="00A10663">
        <w:t>3.1.2.</w:t>
      </w:r>
      <w:r w:rsidR="006730B0" w:rsidRPr="00A10663">
        <w:rPr>
          <w:rFonts w:eastAsia="Arial" w:cs="Arial"/>
        </w:rPr>
        <w:t xml:space="preserve"> </w:t>
      </w:r>
      <w:r w:rsidR="006730B0" w:rsidRPr="00A10663">
        <w:t>Volatility adjustment</w:t>
      </w:r>
      <w:r w:rsidR="00E7420F" w:rsidRPr="00A10663">
        <w:fldChar w:fldCharType="end"/>
      </w:r>
      <w:r w:rsidR="00E7420F" w:rsidRPr="00A10663">
        <w:t>)</w:t>
      </w:r>
      <w:r w:rsidRPr="00A10663">
        <w:t xml:space="preserve"> to your technical provisions.  </w:t>
      </w:r>
    </w:p>
    <w:p w14:paraId="5F6E36A1" w14:textId="728D2628" w:rsidR="002B3376" w:rsidRPr="00A10663" w:rsidRDefault="00E07FC7" w:rsidP="00BD6C7D">
      <w:pPr>
        <w:numPr>
          <w:ilvl w:val="3"/>
          <w:numId w:val="31"/>
        </w:numPr>
        <w:ind w:right="204" w:hanging="721"/>
      </w:pPr>
      <w:r w:rsidRPr="00A10663">
        <w:t xml:space="preserve">In bullet </w:t>
      </w:r>
      <w:r w:rsidRPr="00A10663">
        <w:fldChar w:fldCharType="begin"/>
      </w:r>
      <w:r w:rsidRPr="00A10663">
        <w:instrText xml:space="preserve"> REF _Ref188902500 \r \h </w:instrText>
      </w:r>
      <w:r w:rsidR="00A10663" w:rsidRPr="00A10663">
        <w:instrText xml:space="preserve"> \* MERGEFORMAT </w:instrText>
      </w:r>
      <w:r w:rsidRPr="00A10663">
        <w:fldChar w:fldCharType="separate"/>
      </w:r>
      <w:r w:rsidR="006730B0">
        <w:t>III</w:t>
      </w:r>
      <w:r w:rsidRPr="00A10663">
        <w:fldChar w:fldCharType="end"/>
      </w:r>
      <w:r w:rsidRPr="00A10663">
        <w:t xml:space="preserve"> above,</w:t>
      </w:r>
      <w:r w:rsidR="000C4AB1" w:rsidRPr="00A10663">
        <w:t xml:space="preserve"> the switch to your own portfolio only concerns the SCR. But, in your simulations generating the distribution in your model, </w:t>
      </w:r>
      <w:r w:rsidR="001C2417" w:rsidRPr="00A10663">
        <w:t xml:space="preserve">the balance sheet at </w:t>
      </w:r>
      <w:r w:rsidR="000C4AB1" w:rsidRPr="00A10663">
        <w:t>“t=0” has to be calculated also</w:t>
      </w:r>
      <w:r w:rsidR="00C77DE7" w:rsidRPr="00A10663">
        <w:t xml:space="preserve"> using a VA based</w:t>
      </w:r>
      <w:r w:rsidR="000C4AB1" w:rsidRPr="00A10663">
        <w:t xml:space="preserve"> on your own asset portfolio to have a distribution consistent in all data points regarding the choice of the portfolio to determine the risk corrected spread.  </w:t>
      </w:r>
    </w:p>
    <w:p w14:paraId="0E7FCCD9" w14:textId="66BFBD49" w:rsidR="002B3376" w:rsidRPr="00A10663" w:rsidRDefault="001E7A38" w:rsidP="00BD6C7D">
      <w:pPr>
        <w:ind w:left="1078" w:right="204" w:firstLine="0"/>
      </w:pPr>
      <w:r w:rsidRPr="00A10663">
        <w:rPr>
          <w:b/>
          <w:bCs/>
        </w:rPr>
        <w:t>The credit spread sensitivity ratio (CSSR)</w:t>
      </w:r>
      <w:r w:rsidR="000C4AB1" w:rsidRPr="00A10663">
        <w:t xml:space="preserve"> should be treated as follows: </w:t>
      </w:r>
    </w:p>
    <w:p w14:paraId="57E2616B" w14:textId="6E65A882" w:rsidR="002B3376" w:rsidRPr="00A10663" w:rsidRDefault="000C4AB1" w:rsidP="00BD6C7D">
      <w:pPr>
        <w:numPr>
          <w:ilvl w:val="3"/>
          <w:numId w:val="32"/>
        </w:numPr>
        <w:ind w:right="204" w:hanging="180"/>
      </w:pPr>
      <w:r w:rsidRPr="00A10663">
        <w:t xml:space="preserve">Please determine a prudent estimate of </w:t>
      </w:r>
      <w:r w:rsidR="00DF6097" w:rsidRPr="00A10663">
        <w:t>credit spread sensitivity ratio</w:t>
      </w:r>
      <w:r w:rsidRPr="00A10663">
        <w:t xml:space="preserve"> under your simulations and use this value as ‘constant’ parameter in your simulations. If considered necessary please differentiate between </w:t>
      </w:r>
      <w:r w:rsidR="00D12497" w:rsidRPr="00A10663">
        <w:t xml:space="preserve">the scenarios specified in bullets </w:t>
      </w:r>
      <w:r w:rsidR="000F367F" w:rsidRPr="00A10663">
        <w:fldChar w:fldCharType="begin"/>
      </w:r>
      <w:r w:rsidR="000F367F" w:rsidRPr="00A10663">
        <w:instrText xml:space="preserve"> REF _Ref190288126 \r \h </w:instrText>
      </w:r>
      <w:r w:rsidR="00A10663" w:rsidRPr="00A10663">
        <w:instrText xml:space="preserve"> \* MERGEFORMAT </w:instrText>
      </w:r>
      <w:r w:rsidR="000F367F" w:rsidRPr="00A10663">
        <w:fldChar w:fldCharType="separate"/>
      </w:r>
      <w:r w:rsidR="006730B0">
        <w:t>II</w:t>
      </w:r>
      <w:r w:rsidR="000F367F" w:rsidRPr="00A10663">
        <w:fldChar w:fldCharType="end"/>
      </w:r>
      <w:r w:rsidR="000F367F" w:rsidRPr="00A10663">
        <w:t xml:space="preserve"> </w:t>
      </w:r>
      <w:r w:rsidR="00D12497" w:rsidRPr="00A10663">
        <w:t xml:space="preserve">and </w:t>
      </w:r>
      <w:r w:rsidR="000F367F" w:rsidRPr="00A10663">
        <w:fldChar w:fldCharType="begin"/>
      </w:r>
      <w:r w:rsidR="000F367F" w:rsidRPr="00A10663">
        <w:instrText xml:space="preserve"> REF _Ref188902758 \r \h </w:instrText>
      </w:r>
      <w:r w:rsidR="00A10663" w:rsidRPr="00A10663">
        <w:instrText xml:space="preserve"> \* MERGEFORMAT </w:instrText>
      </w:r>
      <w:r w:rsidR="000F367F" w:rsidRPr="00A10663">
        <w:fldChar w:fldCharType="separate"/>
      </w:r>
      <w:r w:rsidR="006730B0">
        <w:t>III</w:t>
      </w:r>
      <w:r w:rsidR="000F367F" w:rsidRPr="00A10663">
        <w:fldChar w:fldCharType="end"/>
      </w:r>
      <w:r w:rsidR="000F367F" w:rsidRPr="00A10663">
        <w:t xml:space="preserve"> </w:t>
      </w:r>
      <w:r w:rsidR="007B259F" w:rsidRPr="00A10663">
        <w:t>above</w:t>
      </w:r>
      <w:r w:rsidRPr="00A10663">
        <w:t xml:space="preserve">. </w:t>
      </w:r>
    </w:p>
    <w:p w14:paraId="653432B8" w14:textId="75BD1C00" w:rsidR="00CB2D02" w:rsidRPr="00A10663" w:rsidRDefault="00CB2D02" w:rsidP="00BD6C7D">
      <w:pPr>
        <w:numPr>
          <w:ilvl w:val="3"/>
          <w:numId w:val="32"/>
        </w:numPr>
        <w:ind w:right="204" w:hanging="180"/>
      </w:pPr>
      <w:r w:rsidRPr="00A10663">
        <w:t xml:space="preserve">Only consider assets </w:t>
      </w:r>
      <w:r w:rsidR="007230E5" w:rsidRPr="00A10663">
        <w:t xml:space="preserve">to which the undertaking is exposed to </w:t>
      </w:r>
      <w:r w:rsidR="00B27233" w:rsidRPr="00A10663">
        <w:t xml:space="preserve">significant </w:t>
      </w:r>
      <w:r w:rsidR="007230E5" w:rsidRPr="00A10663">
        <w:t>spread risk. This implies that hedged spread assets should not be included in the calculation of the CSSR.</w:t>
      </w:r>
    </w:p>
    <w:p w14:paraId="42DA74C4" w14:textId="77777777" w:rsidR="002B3376" w:rsidRPr="00A10663" w:rsidRDefault="000C4AB1" w:rsidP="00BD6C7D">
      <w:pPr>
        <w:spacing w:after="109"/>
        <w:ind w:left="1078" w:right="204" w:firstLine="0"/>
      </w:pPr>
      <w:r w:rsidRPr="00A10663">
        <w:rPr>
          <w:b/>
          <w:bCs/>
        </w:rPr>
        <w:t>Portfolio weights and scaling factor</w:t>
      </w:r>
      <w:r w:rsidRPr="00A10663">
        <w:t xml:space="preserve">: </w:t>
      </w:r>
    </w:p>
    <w:p w14:paraId="68A79D2B" w14:textId="50DC9E30" w:rsidR="007230E5" w:rsidRPr="00A10663" w:rsidRDefault="007B259F" w:rsidP="007230E5">
      <w:pPr>
        <w:numPr>
          <w:ilvl w:val="3"/>
          <w:numId w:val="32"/>
        </w:numPr>
        <w:ind w:right="204" w:hanging="180"/>
      </w:pPr>
      <w:r w:rsidRPr="00A10663">
        <w:t xml:space="preserve">In each simulated scenario, you are requested to recalculate the weights and the scaling factor </w:t>
      </w:r>
      <w:r w:rsidR="000F367F" w:rsidRPr="00A10663">
        <w:t xml:space="preserve">used for determining the scaled risk corrected spread </w:t>
      </w:r>
      <w:r w:rsidRPr="00A10663">
        <w:t xml:space="preserve">(see paragraph </w:t>
      </w:r>
      <w:r w:rsidRPr="00A10663">
        <w:fldChar w:fldCharType="begin"/>
      </w:r>
      <w:r w:rsidRPr="00A10663">
        <w:instrText xml:space="preserve"> REF _Ref182249198 \r \h </w:instrText>
      </w:r>
      <w:r w:rsidR="00A10663" w:rsidRPr="00A10663">
        <w:instrText xml:space="preserve"> \* MERGEFORMAT </w:instrText>
      </w:r>
      <w:r w:rsidRPr="00A10663">
        <w:fldChar w:fldCharType="separate"/>
      </w:r>
      <w:r w:rsidR="006730B0">
        <w:t>37</w:t>
      </w:r>
      <w:r w:rsidRPr="00A10663">
        <w:fldChar w:fldCharType="end"/>
      </w:r>
      <w:r w:rsidRPr="00A10663">
        <w:t xml:space="preserve">) within the portfolios used </w:t>
      </w:r>
      <w:r w:rsidR="000F367F" w:rsidRPr="00A10663">
        <w:t xml:space="preserve">for the </w:t>
      </w:r>
      <w:r w:rsidRPr="00A10663">
        <w:t xml:space="preserve">scenarios in bullets </w:t>
      </w:r>
      <w:r w:rsidR="000F367F" w:rsidRPr="00A10663">
        <w:fldChar w:fldCharType="begin"/>
      </w:r>
      <w:r w:rsidR="000F367F" w:rsidRPr="00A10663">
        <w:instrText xml:space="preserve"> REF _Ref190288126 \r \h </w:instrText>
      </w:r>
      <w:r w:rsidR="00A10663" w:rsidRPr="00A10663">
        <w:instrText xml:space="preserve"> \* MERGEFORMAT </w:instrText>
      </w:r>
      <w:r w:rsidR="000F367F" w:rsidRPr="00A10663">
        <w:fldChar w:fldCharType="separate"/>
      </w:r>
      <w:r w:rsidR="006730B0">
        <w:t>II</w:t>
      </w:r>
      <w:r w:rsidR="000F367F" w:rsidRPr="00A10663">
        <w:fldChar w:fldCharType="end"/>
      </w:r>
      <w:r w:rsidR="000F367F" w:rsidRPr="00A10663">
        <w:t xml:space="preserve"> and </w:t>
      </w:r>
      <w:r w:rsidR="000F367F" w:rsidRPr="00A10663">
        <w:fldChar w:fldCharType="begin"/>
      </w:r>
      <w:r w:rsidR="000F367F" w:rsidRPr="00A10663">
        <w:instrText xml:space="preserve"> REF _Ref188902758 \r \h </w:instrText>
      </w:r>
      <w:r w:rsidR="00A10663" w:rsidRPr="00A10663">
        <w:instrText xml:space="preserve"> \* MERGEFORMAT </w:instrText>
      </w:r>
      <w:r w:rsidR="000F367F" w:rsidRPr="00A10663">
        <w:fldChar w:fldCharType="separate"/>
      </w:r>
      <w:r w:rsidR="006730B0">
        <w:t>III</w:t>
      </w:r>
      <w:r w:rsidR="000F367F" w:rsidRPr="00A10663">
        <w:fldChar w:fldCharType="end"/>
      </w:r>
      <w:r w:rsidRPr="00A10663">
        <w:t xml:space="preserve"> above. </w:t>
      </w:r>
      <w:r w:rsidR="000F367F" w:rsidRPr="00A10663">
        <w:t xml:space="preserve">For the scenario </w:t>
      </w:r>
      <w:r w:rsidR="00B27233" w:rsidRPr="00A10663">
        <w:t xml:space="preserve">in bullet </w:t>
      </w:r>
      <w:r w:rsidR="00B27233" w:rsidRPr="00A10663">
        <w:fldChar w:fldCharType="begin"/>
      </w:r>
      <w:r w:rsidR="00B27233" w:rsidRPr="00A10663">
        <w:instrText xml:space="preserve"> REF _Ref188902758 \r \h </w:instrText>
      </w:r>
      <w:r w:rsidR="00A10663" w:rsidRPr="00A10663">
        <w:instrText xml:space="preserve"> \* MERGEFORMAT </w:instrText>
      </w:r>
      <w:r w:rsidR="00B27233" w:rsidRPr="00A10663">
        <w:fldChar w:fldCharType="separate"/>
      </w:r>
      <w:r w:rsidR="006730B0">
        <w:t>III</w:t>
      </w:r>
      <w:r w:rsidR="00B27233" w:rsidRPr="00A10663">
        <w:fldChar w:fldCharType="end"/>
      </w:r>
      <w:r w:rsidR="00B27233" w:rsidRPr="00A10663">
        <w:t>, o</w:t>
      </w:r>
      <w:r w:rsidR="007230E5" w:rsidRPr="00A10663">
        <w:t xml:space="preserve">nly consider assets to which the undertaking is exposed to </w:t>
      </w:r>
      <w:r w:rsidR="004F7495" w:rsidRPr="00A10663">
        <w:t xml:space="preserve">significant </w:t>
      </w:r>
      <w:r w:rsidR="007230E5" w:rsidRPr="00A10663">
        <w:lastRenderedPageBreak/>
        <w:t>spread risk. This implies that hedged spread assets should not be included in the calculation of the portfolio weights and scaling factor.</w:t>
      </w:r>
    </w:p>
    <w:p w14:paraId="63B9B039" w14:textId="01457702" w:rsidR="007B259F" w:rsidRPr="00A10663" w:rsidRDefault="007B259F" w:rsidP="00BD6C7D">
      <w:pPr>
        <w:spacing w:after="110"/>
        <w:ind w:left="1800" w:right="204" w:firstLine="0"/>
      </w:pPr>
    </w:p>
    <w:p w14:paraId="51BE6CA0" w14:textId="2B69E26B" w:rsidR="002B3376" w:rsidRPr="00A10663" w:rsidRDefault="007B259F" w:rsidP="0065180B">
      <w:pPr>
        <w:spacing w:after="108"/>
        <w:ind w:left="1800" w:right="204" w:firstLine="0"/>
      </w:pPr>
      <w:r w:rsidRPr="00A10663">
        <w:t>T</w:t>
      </w:r>
      <w:r w:rsidR="0054290C" w:rsidRPr="00A10663">
        <w:t>his originates from the expected new regime to</w:t>
      </w:r>
      <w:r w:rsidR="000C4AB1" w:rsidRPr="00A10663">
        <w:t xml:space="preserve"> include the change of ‘market value freeze’ to ‘cashflow freeze’ for the VA methodology (see </w:t>
      </w:r>
      <w:r w:rsidR="006B2370" w:rsidRPr="00A10663">
        <w:t>annex 2.27 of EIOPA’s background document to the opinion on the Solvency II review</w:t>
      </w:r>
      <w:r w:rsidR="00C649EE" w:rsidRPr="00A10663">
        <w:rPr>
          <w:rStyle w:val="FootnoteReference"/>
        </w:rPr>
        <w:footnoteReference w:id="19"/>
      </w:r>
      <w:r w:rsidR="000C4AB1" w:rsidRPr="00A10663">
        <w:t xml:space="preserve">). </w:t>
      </w:r>
      <w:r w:rsidRPr="00A10663">
        <w:t xml:space="preserve">This implies a variation of weights of the portfolios under simulations. </w:t>
      </w:r>
    </w:p>
    <w:p w14:paraId="09A7CEFE" w14:textId="2AE371C9" w:rsidR="002B3376" w:rsidRPr="00A10663" w:rsidRDefault="000C4AB1" w:rsidP="00BD6C7D">
      <w:pPr>
        <w:spacing w:after="111"/>
        <w:ind w:left="1800" w:right="204" w:firstLine="0"/>
      </w:pPr>
      <w:r w:rsidRPr="00A10663">
        <w:t xml:space="preserve">If this cannot be implemented with reasonable effort for the purpose of this holistic impact assessment, please </w:t>
      </w:r>
      <w:r w:rsidR="00B80615" w:rsidRPr="00A10663">
        <w:t>reach out to DNB.</w:t>
      </w:r>
      <w:r w:rsidRPr="00A10663">
        <w:t xml:space="preserve"> </w:t>
      </w:r>
    </w:p>
    <w:p w14:paraId="05BCAE6F" w14:textId="77777777" w:rsidR="002B3376" w:rsidRPr="00A10663" w:rsidRDefault="000C4AB1" w:rsidP="00BD6C7D">
      <w:pPr>
        <w:spacing w:after="106"/>
        <w:ind w:left="1078" w:right="204" w:firstLine="0"/>
      </w:pPr>
      <w:r w:rsidRPr="00A10663">
        <w:rPr>
          <w:b/>
          <w:bCs/>
        </w:rPr>
        <w:t>Spread data</w:t>
      </w:r>
      <w:r w:rsidRPr="00A10663">
        <w:t xml:space="preserve"> to calculate the risk corrected spread: </w:t>
      </w:r>
    </w:p>
    <w:p w14:paraId="327C88BB" w14:textId="578752B2" w:rsidR="002B3376" w:rsidRPr="00A10663" w:rsidRDefault="000C4AB1" w:rsidP="00BD6C7D">
      <w:pPr>
        <w:spacing w:after="110"/>
        <w:ind w:left="1800" w:right="204" w:firstLine="0"/>
      </w:pPr>
      <w:r w:rsidRPr="00A10663">
        <w:t xml:space="preserve">It is expected that you use the spread data as included in your internal model. </w:t>
      </w:r>
    </w:p>
    <w:p w14:paraId="6E962E72" w14:textId="4C58F2F7" w:rsidR="002B3376" w:rsidRPr="00A10663" w:rsidRDefault="000C4AB1" w:rsidP="00BD6C7D">
      <w:pPr>
        <w:spacing w:after="112"/>
        <w:ind w:left="1800" w:right="204" w:firstLine="0"/>
      </w:pPr>
      <w:r w:rsidRPr="00A10663">
        <w:t xml:space="preserve">This includes the LTAS used in the calculation of the risk corrected </w:t>
      </w:r>
      <w:r w:rsidR="00B9561E" w:rsidRPr="00A10663">
        <w:t xml:space="preserve">spread </w:t>
      </w:r>
      <w:r w:rsidRPr="00A10663">
        <w:t xml:space="preserve">as described in paragraphs </w:t>
      </w:r>
      <w:r w:rsidR="00364090" w:rsidRPr="00A10663">
        <w:fldChar w:fldCharType="begin"/>
      </w:r>
      <w:r w:rsidR="00364090" w:rsidRPr="00A10663">
        <w:instrText xml:space="preserve"> REF _Ref182256581 \r \h </w:instrText>
      </w:r>
      <w:r w:rsidR="00A10663" w:rsidRPr="00A10663">
        <w:instrText xml:space="preserve"> \* MERGEFORMAT </w:instrText>
      </w:r>
      <w:r w:rsidR="00364090" w:rsidRPr="00A10663">
        <w:fldChar w:fldCharType="separate"/>
      </w:r>
      <w:r w:rsidR="006730B0">
        <w:t>38</w:t>
      </w:r>
      <w:r w:rsidR="00364090" w:rsidRPr="00A10663">
        <w:fldChar w:fldCharType="end"/>
      </w:r>
      <w:r w:rsidR="00364090" w:rsidRPr="00A10663">
        <w:t xml:space="preserve"> </w:t>
      </w:r>
      <w:r w:rsidRPr="00A10663">
        <w:t>to</w:t>
      </w:r>
      <w:r w:rsidR="00364090" w:rsidRPr="00A10663">
        <w:t xml:space="preserve"> </w:t>
      </w:r>
      <w:r w:rsidR="00364090" w:rsidRPr="00A10663">
        <w:fldChar w:fldCharType="begin"/>
      </w:r>
      <w:r w:rsidR="00364090" w:rsidRPr="00A10663">
        <w:instrText xml:space="preserve"> REF _Ref182256596 \r \h </w:instrText>
      </w:r>
      <w:r w:rsidR="00A10663" w:rsidRPr="00A10663">
        <w:instrText xml:space="preserve"> \* MERGEFORMAT </w:instrText>
      </w:r>
      <w:r w:rsidR="00364090" w:rsidRPr="00A10663">
        <w:fldChar w:fldCharType="separate"/>
      </w:r>
      <w:r w:rsidR="006730B0">
        <w:t>40</w:t>
      </w:r>
      <w:r w:rsidR="00364090" w:rsidRPr="00A10663">
        <w:fldChar w:fldCharType="end"/>
      </w:r>
      <w:r w:rsidRPr="00A10663">
        <w:t>. As a reference of LTAS values please consider the file “EIOPA_RFR_20</w:t>
      </w:r>
      <w:r w:rsidR="00364090" w:rsidRPr="00A10663">
        <w:t>24</w:t>
      </w:r>
      <w:r w:rsidRPr="00A10663">
        <w:t xml:space="preserve">1231_PD_Cod.xlsx” as published with the EIOPA monthly RFR information for </w:t>
      </w:r>
      <w:r w:rsidR="00F95BF5" w:rsidRPr="00A10663">
        <w:t>reference</w:t>
      </w:r>
      <w:r w:rsidRPr="00A10663">
        <w:t xml:space="preserve"> date 31.12.20</w:t>
      </w:r>
      <w:r w:rsidR="00B9561E" w:rsidRPr="00A10663">
        <w:t>24</w:t>
      </w:r>
      <w:r w:rsidR="00F95BF5" w:rsidRPr="00A10663">
        <w:t>.</w:t>
      </w:r>
      <w:r w:rsidRPr="00A10663">
        <w:rPr>
          <w:highlight w:val="yellow"/>
        </w:rPr>
        <w:t xml:space="preserve"> </w:t>
      </w:r>
    </w:p>
    <w:p w14:paraId="1280B451" w14:textId="6A84AF93" w:rsidR="002B3376" w:rsidRPr="00A10663" w:rsidRDefault="000C4AB1" w:rsidP="00BD6C7D">
      <w:pPr>
        <w:ind w:left="1800" w:right="204" w:firstLine="0"/>
      </w:pPr>
      <w:r w:rsidRPr="00A10663">
        <w:t>Different f</w:t>
      </w:r>
      <w:r w:rsidR="00636176" w:rsidRPr="00A10663">
        <w:t>ro</w:t>
      </w:r>
      <w:r w:rsidRPr="00A10663">
        <w:t>m the algorithm used in the reference portfolio, also for EEA government bonds you are expected</w:t>
      </w:r>
      <w:r w:rsidR="00636176" w:rsidRPr="00A10663">
        <w:t xml:space="preserve"> to</w:t>
      </w:r>
      <w:r w:rsidRPr="00A10663">
        <w:t xml:space="preserve"> differentiate spread data by issuer as implemented in your internal model.  </w:t>
      </w:r>
    </w:p>
    <w:p w14:paraId="7FD8EA06" w14:textId="7DA0F346" w:rsidR="002B3376" w:rsidRPr="00A10663" w:rsidRDefault="000C4AB1" w:rsidP="00A75E86">
      <w:pPr>
        <w:numPr>
          <w:ilvl w:val="0"/>
          <w:numId w:val="5"/>
        </w:numPr>
        <w:spacing w:after="113"/>
        <w:ind w:right="204" w:hanging="566"/>
      </w:pPr>
      <w:r w:rsidRPr="00A10663">
        <w:t xml:space="preserve">Furthermore, </w:t>
      </w:r>
      <w:r w:rsidR="000B73BF" w:rsidRPr="00A10663">
        <w:t>on</w:t>
      </w:r>
      <w:r w:rsidR="00231C18" w:rsidRPr="00A10663">
        <w:t xml:space="preserve"> sheet “</w:t>
      </w:r>
      <w:r w:rsidR="00231C18" w:rsidRPr="00A10663">
        <w:rPr>
          <w:b/>
          <w:bCs/>
        </w:rPr>
        <w:t>IM only – VA details</w:t>
      </w:r>
      <w:r w:rsidR="00231C18" w:rsidRPr="00A10663">
        <w:t xml:space="preserve">” </w:t>
      </w:r>
      <w:r w:rsidRPr="00A10663">
        <w:t>please provide the risk corrected spread as determined on your own asset portfolio in “t=0”,</w:t>
      </w:r>
      <w:r w:rsidR="009E0924" w:rsidRPr="00A10663">
        <w:t xml:space="preserve"> as well as the other VA details,</w:t>
      </w:r>
      <w:r w:rsidRPr="00A10663">
        <w:t xml:space="preserve"> i.e. as if using your own asset portfolio to determine the VA for technical provisions. </w:t>
      </w:r>
    </w:p>
    <w:p w14:paraId="275B34B9" w14:textId="2277FC89" w:rsidR="002B3376" w:rsidRPr="00A10663" w:rsidRDefault="000C4AB1" w:rsidP="00BD6C7D">
      <w:pPr>
        <w:spacing w:after="99" w:line="259" w:lineRule="auto"/>
        <w:ind w:left="0" w:firstLine="0"/>
        <w:jc w:val="left"/>
      </w:pPr>
      <w:r w:rsidRPr="00A10663">
        <w:t xml:space="preserve">  </w:t>
      </w:r>
    </w:p>
    <w:p w14:paraId="71025613" w14:textId="11E8C27F" w:rsidR="002B3376" w:rsidRPr="00A10663" w:rsidRDefault="008D2B6D" w:rsidP="0065180B">
      <w:pPr>
        <w:pStyle w:val="Heading3"/>
        <w:spacing w:after="105"/>
        <w:ind w:left="0"/>
      </w:pPr>
      <w:bookmarkStart w:id="25" w:name="_Toc190205702"/>
      <w:bookmarkStart w:id="26" w:name="_Toc190338551"/>
      <w:r w:rsidRPr="00A10663">
        <w:t>3</w:t>
      </w:r>
      <w:r w:rsidR="000C4AB1" w:rsidRPr="00A10663">
        <w:t>.</w:t>
      </w:r>
      <w:r w:rsidRPr="00A10663">
        <w:t>4</w:t>
      </w:r>
      <w:r w:rsidR="000C4AB1" w:rsidRPr="00A10663">
        <w:t>.</w:t>
      </w:r>
      <w:r w:rsidR="000C4AB1" w:rsidRPr="00A10663">
        <w:rPr>
          <w:rFonts w:eastAsia="Arial" w:cs="Arial"/>
        </w:rPr>
        <w:t xml:space="preserve"> </w:t>
      </w:r>
      <w:r w:rsidR="000C4AB1" w:rsidRPr="00A10663">
        <w:t>Minimum Capital Requirement</w:t>
      </w:r>
      <w:bookmarkEnd w:id="25"/>
      <w:bookmarkEnd w:id="26"/>
      <w:r w:rsidR="000C4AB1" w:rsidRPr="00A10663">
        <w:t xml:space="preserve"> </w:t>
      </w:r>
    </w:p>
    <w:p w14:paraId="01AD11F0" w14:textId="51A98B39" w:rsidR="002B3376" w:rsidRPr="00A10663" w:rsidRDefault="000C4AB1" w:rsidP="00A75E86">
      <w:pPr>
        <w:numPr>
          <w:ilvl w:val="0"/>
          <w:numId w:val="5"/>
        </w:numPr>
        <w:spacing w:after="113"/>
        <w:ind w:right="204" w:hanging="566"/>
      </w:pPr>
      <w:r w:rsidRPr="00A10663">
        <w:t xml:space="preserve">The currently applicable risk factors for the calculation of the MCR set out in Annex XIX of the Delegated Regulation should be replaced by the following factors: </w:t>
      </w:r>
    </w:p>
    <w:p w14:paraId="6795E18D" w14:textId="77777777" w:rsidR="002B3376" w:rsidRPr="00A10663" w:rsidRDefault="000C4AB1" w:rsidP="00BD6C7D">
      <w:pPr>
        <w:spacing w:after="0" w:line="259" w:lineRule="auto"/>
        <w:ind w:left="566" w:firstLine="0"/>
        <w:jc w:val="left"/>
      </w:pPr>
      <w:r w:rsidRPr="00A10663">
        <w:t xml:space="preserve"> </w:t>
      </w:r>
    </w:p>
    <w:tbl>
      <w:tblPr>
        <w:tblStyle w:val="TableGrid1"/>
        <w:tblW w:w="5279" w:type="dxa"/>
        <w:tblInd w:w="2182" w:type="dxa"/>
        <w:tblCellMar>
          <w:top w:w="54" w:type="dxa"/>
          <w:left w:w="70" w:type="dxa"/>
          <w:right w:w="4" w:type="dxa"/>
        </w:tblCellMar>
        <w:tblLook w:val="04A0" w:firstRow="1" w:lastRow="0" w:firstColumn="1" w:lastColumn="0" w:noHBand="0" w:noVBand="1"/>
      </w:tblPr>
      <w:tblGrid>
        <w:gridCol w:w="2622"/>
        <w:gridCol w:w="1392"/>
        <w:gridCol w:w="1265"/>
      </w:tblGrid>
      <w:tr w:rsidR="002B3376" w:rsidRPr="00A10663" w14:paraId="5F0ECFA0" w14:textId="77777777" w:rsidTr="0065180B">
        <w:trPr>
          <w:trHeight w:val="850"/>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AD55C" w14:textId="77777777" w:rsidR="002B3376" w:rsidRPr="00A10663" w:rsidRDefault="000C4AB1">
            <w:pPr>
              <w:spacing w:after="0" w:line="259" w:lineRule="auto"/>
              <w:ind w:left="0" w:firstLine="0"/>
              <w:jc w:val="left"/>
            </w:pPr>
            <w:r w:rsidRPr="00A10663">
              <w:rPr>
                <w:b/>
                <w:sz w:val="20"/>
              </w:rPr>
              <w:t xml:space="preserve">Segment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813EB" w14:textId="77777777" w:rsidR="002B3376" w:rsidRPr="00A10663" w:rsidRDefault="000C4AB1">
            <w:pPr>
              <w:spacing w:after="0" w:line="259" w:lineRule="auto"/>
              <w:ind w:left="0" w:firstLine="0"/>
              <w:jc w:val="center"/>
            </w:pPr>
            <w:r w:rsidRPr="00A10663">
              <w:rPr>
                <w:b/>
                <w:sz w:val="20"/>
              </w:rPr>
              <w:t xml:space="preserve">Factor for technical provisions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114FB" w14:textId="77777777" w:rsidR="002B3376" w:rsidRPr="00A10663" w:rsidRDefault="000C4AB1">
            <w:pPr>
              <w:spacing w:after="0" w:line="259" w:lineRule="auto"/>
              <w:ind w:left="0" w:firstLine="0"/>
              <w:jc w:val="center"/>
            </w:pPr>
            <w:r w:rsidRPr="00A10663">
              <w:rPr>
                <w:b/>
                <w:sz w:val="20"/>
              </w:rPr>
              <w:t xml:space="preserve">Factor for premiums written </w:t>
            </w:r>
          </w:p>
        </w:tc>
      </w:tr>
      <w:tr w:rsidR="002B3376" w:rsidRPr="00A10663" w14:paraId="3B21C325" w14:textId="77777777" w:rsidTr="0065180B">
        <w:trPr>
          <w:trHeight w:val="310"/>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02349" w14:textId="77777777" w:rsidR="002B3376" w:rsidRPr="00A10663" w:rsidRDefault="000C4AB1">
            <w:pPr>
              <w:spacing w:after="0" w:line="259" w:lineRule="auto"/>
              <w:ind w:left="0" w:firstLine="0"/>
              <w:jc w:val="left"/>
            </w:pPr>
            <w:r w:rsidRPr="00A10663">
              <w:rPr>
                <w:sz w:val="20"/>
              </w:rPr>
              <w:t xml:space="preserve">Credit &amp; suretyship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69284" w14:textId="77777777" w:rsidR="002B3376" w:rsidRPr="00A10663" w:rsidRDefault="000C4AB1">
            <w:pPr>
              <w:spacing w:after="0" w:line="259" w:lineRule="auto"/>
              <w:ind w:left="0" w:right="69" w:firstLine="0"/>
              <w:jc w:val="center"/>
            </w:pPr>
            <w:r w:rsidRPr="00A10663">
              <w:rPr>
                <w:sz w:val="20"/>
              </w:rPr>
              <w:t xml:space="preserve">16.0%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FBA7B" w14:textId="77777777" w:rsidR="002B3376" w:rsidRPr="00A10663" w:rsidRDefault="000C4AB1">
            <w:pPr>
              <w:spacing w:after="0" w:line="259" w:lineRule="auto"/>
              <w:ind w:left="0" w:right="66" w:firstLine="0"/>
              <w:jc w:val="center"/>
            </w:pPr>
            <w:r w:rsidRPr="00A10663">
              <w:rPr>
                <w:sz w:val="20"/>
              </w:rPr>
              <w:t xml:space="preserve">17.7% </w:t>
            </w:r>
          </w:p>
        </w:tc>
      </w:tr>
      <w:tr w:rsidR="002B3376" w:rsidRPr="00A10663" w14:paraId="159D24F9" w14:textId="77777777" w:rsidTr="0065180B">
        <w:trPr>
          <w:trHeight w:val="310"/>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840B4" w14:textId="77777777" w:rsidR="002B3376" w:rsidRPr="00A10663" w:rsidRDefault="000C4AB1">
            <w:pPr>
              <w:spacing w:after="0" w:line="259" w:lineRule="auto"/>
              <w:ind w:left="0" w:firstLine="0"/>
              <w:jc w:val="left"/>
            </w:pPr>
            <w:r w:rsidRPr="00A10663">
              <w:rPr>
                <w:sz w:val="20"/>
              </w:rPr>
              <w:t xml:space="preserve">Legal expenses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70034" w14:textId="77777777" w:rsidR="002B3376" w:rsidRPr="00A10663" w:rsidRDefault="000C4AB1">
            <w:pPr>
              <w:spacing w:after="0" w:line="259" w:lineRule="auto"/>
              <w:ind w:left="0" w:right="67" w:firstLine="0"/>
              <w:jc w:val="center"/>
            </w:pPr>
            <w:r w:rsidRPr="00A10663">
              <w:rPr>
                <w:sz w:val="20"/>
              </w:rPr>
              <w:t xml:space="preserve">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F70F4" w14:textId="77777777" w:rsidR="002B3376" w:rsidRPr="00A10663" w:rsidRDefault="000C4AB1">
            <w:pPr>
              <w:spacing w:after="0" w:line="259" w:lineRule="auto"/>
              <w:ind w:left="0" w:right="69" w:firstLine="0"/>
              <w:jc w:val="center"/>
            </w:pPr>
            <w:r w:rsidRPr="00A10663">
              <w:rPr>
                <w:sz w:val="20"/>
              </w:rPr>
              <w:t xml:space="preserve">7.8% </w:t>
            </w:r>
          </w:p>
        </w:tc>
      </w:tr>
      <w:tr w:rsidR="002B3376" w:rsidRPr="00A10663" w14:paraId="301431C7" w14:textId="77777777" w:rsidTr="0065180B">
        <w:trPr>
          <w:trHeight w:val="310"/>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02040" w14:textId="77777777" w:rsidR="002B3376" w:rsidRPr="00A10663" w:rsidRDefault="000C4AB1">
            <w:pPr>
              <w:spacing w:after="0" w:line="259" w:lineRule="auto"/>
              <w:ind w:left="0" w:firstLine="0"/>
              <w:jc w:val="left"/>
            </w:pPr>
            <w:r w:rsidRPr="00A10663">
              <w:rPr>
                <w:sz w:val="20"/>
              </w:rPr>
              <w:t xml:space="preserve">Assistance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20F24" w14:textId="77777777" w:rsidR="002B3376" w:rsidRPr="00A10663" w:rsidRDefault="000C4AB1">
            <w:pPr>
              <w:spacing w:after="0" w:line="259" w:lineRule="auto"/>
              <w:ind w:left="0" w:right="69" w:firstLine="0"/>
              <w:jc w:val="center"/>
            </w:pPr>
            <w:r w:rsidRPr="00A10663">
              <w:rPr>
                <w:sz w:val="20"/>
              </w:rPr>
              <w:t xml:space="preserve">20.3%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BB463" w14:textId="77777777" w:rsidR="002B3376" w:rsidRPr="00A10663" w:rsidRDefault="000C4AB1">
            <w:pPr>
              <w:spacing w:after="0" w:line="259" w:lineRule="auto"/>
              <w:ind w:left="0" w:right="69" w:firstLine="0"/>
              <w:jc w:val="center"/>
            </w:pPr>
            <w:r w:rsidRPr="00A10663">
              <w:rPr>
                <w:sz w:val="20"/>
              </w:rPr>
              <w:t xml:space="preserve">6.0% </w:t>
            </w:r>
          </w:p>
        </w:tc>
      </w:tr>
      <w:tr w:rsidR="002B3376" w:rsidRPr="00A10663" w14:paraId="00C0DF7B" w14:textId="77777777" w:rsidTr="0065180B">
        <w:trPr>
          <w:trHeight w:val="320"/>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63C8" w14:textId="77777777" w:rsidR="002B3376" w:rsidRPr="00A10663" w:rsidRDefault="000C4AB1">
            <w:pPr>
              <w:spacing w:after="0" w:line="259" w:lineRule="auto"/>
              <w:ind w:left="0" w:firstLine="0"/>
              <w:jc w:val="left"/>
            </w:pPr>
            <w:r w:rsidRPr="00A10663">
              <w:rPr>
                <w:sz w:val="20"/>
              </w:rPr>
              <w:t>Accident</w:t>
            </w:r>
            <w:r w:rsidRPr="00A10663">
              <w:rPr>
                <w:sz w:val="20"/>
                <w:vertAlign w:val="superscript"/>
              </w:rPr>
              <w:footnoteReference w:id="20"/>
            </w:r>
            <w:r w:rsidRPr="00A10663">
              <w:rPr>
                <w:sz w:val="20"/>
              </w:rPr>
              <w:t xml:space="preserve">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EA3E3" w14:textId="77777777" w:rsidR="002B3376" w:rsidRPr="00A10663" w:rsidRDefault="000C4AB1">
            <w:pPr>
              <w:spacing w:after="0" w:line="259" w:lineRule="auto"/>
              <w:ind w:left="0" w:right="67" w:firstLine="0"/>
              <w:jc w:val="center"/>
            </w:pPr>
            <w:r w:rsidRPr="00A10663">
              <w:rPr>
                <w:sz w:val="20"/>
              </w:rPr>
              <w:t xml:space="preserve">5.4%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1DFBC" w14:textId="77777777" w:rsidR="002B3376" w:rsidRPr="00A10663" w:rsidRDefault="000C4AB1">
            <w:pPr>
              <w:spacing w:after="0" w:line="259" w:lineRule="auto"/>
              <w:ind w:left="31" w:firstLine="0"/>
            </w:pPr>
            <w:r w:rsidRPr="00A10663">
              <w:rPr>
                <w:sz w:val="20"/>
              </w:rPr>
              <w:t xml:space="preserve">No change </w:t>
            </w:r>
          </w:p>
        </w:tc>
      </w:tr>
      <w:tr w:rsidR="002B3376" w:rsidRPr="00A10663" w14:paraId="77636B8A" w14:textId="77777777" w:rsidTr="0065180B">
        <w:trPr>
          <w:trHeight w:val="317"/>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344D" w14:textId="77777777" w:rsidR="002B3376" w:rsidRPr="00A10663" w:rsidRDefault="000C4AB1">
            <w:pPr>
              <w:spacing w:after="0" w:line="259" w:lineRule="auto"/>
              <w:ind w:left="0" w:firstLine="0"/>
              <w:jc w:val="left"/>
            </w:pPr>
            <w:r w:rsidRPr="00A10663">
              <w:rPr>
                <w:sz w:val="20"/>
              </w:rPr>
              <w:lastRenderedPageBreak/>
              <w:t>Sickness</w:t>
            </w:r>
            <w:r w:rsidRPr="00A10663">
              <w:rPr>
                <w:sz w:val="20"/>
                <w:vertAlign w:val="superscript"/>
              </w:rPr>
              <w:footnoteReference w:id="21"/>
            </w:r>
            <w:r w:rsidRPr="00A10663">
              <w:rPr>
                <w:sz w:val="20"/>
              </w:rPr>
              <w:t xml:space="preserve">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0D71" w14:textId="77777777" w:rsidR="002B3376" w:rsidRPr="00A10663" w:rsidRDefault="000C4AB1">
            <w:pPr>
              <w:spacing w:after="0" w:line="259" w:lineRule="auto"/>
              <w:ind w:left="94" w:firstLine="0"/>
              <w:jc w:val="left"/>
            </w:pPr>
            <w:r w:rsidRPr="00A10663">
              <w:rPr>
                <w:sz w:val="20"/>
              </w:rPr>
              <w:t xml:space="preserve">No change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987A" w14:textId="77777777" w:rsidR="002B3376" w:rsidRPr="00A10663" w:rsidRDefault="000C4AB1">
            <w:pPr>
              <w:spacing w:after="0" w:line="259" w:lineRule="auto"/>
              <w:ind w:left="0" w:right="69" w:firstLine="0"/>
              <w:jc w:val="center"/>
            </w:pPr>
            <w:r w:rsidRPr="00A10663">
              <w:rPr>
                <w:sz w:val="20"/>
              </w:rPr>
              <w:t xml:space="preserve">8.0% </w:t>
            </w:r>
          </w:p>
        </w:tc>
      </w:tr>
      <w:tr w:rsidR="002B3376" w:rsidRPr="00A10663" w14:paraId="21A76AB6" w14:textId="77777777" w:rsidTr="0065180B">
        <w:trPr>
          <w:trHeight w:val="310"/>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8A90" w14:textId="77777777" w:rsidR="002B3376" w:rsidRPr="00A10663" w:rsidRDefault="000C4AB1">
            <w:pPr>
              <w:spacing w:after="0" w:line="259" w:lineRule="auto"/>
              <w:ind w:left="0" w:firstLine="0"/>
              <w:jc w:val="left"/>
            </w:pPr>
            <w:r w:rsidRPr="00A10663">
              <w:rPr>
                <w:sz w:val="20"/>
              </w:rPr>
              <w:t xml:space="preserve">Workers compensation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92D9" w14:textId="77777777" w:rsidR="002B3376" w:rsidRPr="00A10663" w:rsidRDefault="000C4AB1">
            <w:pPr>
              <w:spacing w:after="0" w:line="259" w:lineRule="auto"/>
              <w:ind w:left="0" w:right="69" w:firstLine="0"/>
              <w:jc w:val="center"/>
            </w:pPr>
            <w:r w:rsidRPr="00A10663">
              <w:rPr>
                <w:sz w:val="20"/>
              </w:rPr>
              <w:t xml:space="preserve">10.3%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7530" w14:textId="77777777" w:rsidR="002B3376" w:rsidRPr="00A10663" w:rsidRDefault="000C4AB1">
            <w:pPr>
              <w:spacing w:after="0" w:line="259" w:lineRule="auto"/>
              <w:ind w:left="0" w:right="69" w:firstLine="0"/>
              <w:jc w:val="center"/>
            </w:pPr>
            <w:r w:rsidRPr="00A10663">
              <w:rPr>
                <w:sz w:val="20"/>
              </w:rPr>
              <w:t xml:space="preserve">9.0% </w:t>
            </w:r>
          </w:p>
        </w:tc>
      </w:tr>
      <w:tr w:rsidR="002B3376" w:rsidRPr="00A10663" w14:paraId="7CE67CC8" w14:textId="77777777" w:rsidTr="0065180B">
        <w:trPr>
          <w:trHeight w:val="326"/>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58B68" w14:textId="77777777" w:rsidR="002B3376" w:rsidRPr="00A10663" w:rsidRDefault="000C4AB1">
            <w:pPr>
              <w:spacing w:after="0" w:line="259" w:lineRule="auto"/>
              <w:ind w:left="0" w:firstLine="0"/>
              <w:jc w:val="left"/>
            </w:pPr>
            <w:r w:rsidRPr="00A10663">
              <w:rPr>
                <w:sz w:val="20"/>
              </w:rPr>
              <w:t xml:space="preserve">NPR health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1E39C" w14:textId="77777777" w:rsidR="002B3376" w:rsidRPr="00A10663" w:rsidRDefault="000C4AB1">
            <w:pPr>
              <w:spacing w:after="0" w:line="259" w:lineRule="auto"/>
              <w:ind w:left="0" w:right="69" w:firstLine="0"/>
              <w:jc w:val="center"/>
            </w:pPr>
            <w:r w:rsidRPr="00A10663">
              <w:rPr>
                <w:sz w:val="20"/>
              </w:rPr>
              <w:t xml:space="preserve">15.9%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58E73" w14:textId="77777777" w:rsidR="002B3376" w:rsidRPr="00A10663" w:rsidRDefault="000C4AB1">
            <w:pPr>
              <w:spacing w:after="0" w:line="259" w:lineRule="auto"/>
              <w:ind w:left="31" w:firstLine="0"/>
            </w:pPr>
            <w:r w:rsidRPr="00A10663">
              <w:rPr>
                <w:sz w:val="20"/>
              </w:rPr>
              <w:t xml:space="preserve">No change </w:t>
            </w:r>
          </w:p>
        </w:tc>
      </w:tr>
    </w:tbl>
    <w:p w14:paraId="7DC6749C" w14:textId="77777777" w:rsidR="004D423B" w:rsidRPr="00A10663" w:rsidRDefault="004D423B" w:rsidP="00BD6C7D">
      <w:pPr>
        <w:ind w:left="0" w:firstLine="0"/>
      </w:pPr>
    </w:p>
    <w:p w14:paraId="55BA45D9" w14:textId="15329D2F" w:rsidR="002B3376" w:rsidRPr="00A10663" w:rsidRDefault="000C4AB1" w:rsidP="00BD6C7D">
      <w:pPr>
        <w:ind w:left="0" w:firstLine="720"/>
      </w:pPr>
      <w:r w:rsidRPr="00A10663">
        <w:t>For the segments not listed in the table the risk factors should not be changed.</w:t>
      </w:r>
      <w:r w:rsidR="0019349B" w:rsidRPr="00A10663">
        <w:t xml:space="preserve"> Note that </w:t>
      </w:r>
      <w:r w:rsidR="0004578D" w:rsidRPr="00A10663">
        <w:t xml:space="preserve">as an simplification of the impact assessment, </w:t>
      </w:r>
      <w:r w:rsidR="0019349B" w:rsidRPr="00A10663">
        <w:t xml:space="preserve">insurers could choose not to </w:t>
      </w:r>
      <w:r w:rsidR="00D37EDC" w:rsidRPr="00A10663">
        <w:t>provide the MCR data</w:t>
      </w:r>
      <w:r w:rsidR="0004578D" w:rsidRPr="00A10663">
        <w:t xml:space="preserve"> in the impact assessment if the added insight would is not seen as proportional to the additional calculation effort.</w:t>
      </w:r>
      <w:r w:rsidR="00802E86" w:rsidRPr="00A10663">
        <w:t xml:space="preserve"> </w:t>
      </w:r>
      <w:r w:rsidR="000F367F" w:rsidRPr="00A10663">
        <w:t xml:space="preserve">Please include a statement under “Explanation insurer” that you do so. </w:t>
      </w:r>
    </w:p>
    <w:sectPr w:rsidR="002B3376" w:rsidRPr="00A10663">
      <w:headerReference w:type="even" r:id="rId17"/>
      <w:headerReference w:type="default" r:id="rId18"/>
      <w:footerReference w:type="even" r:id="rId19"/>
      <w:footerReference w:type="default" r:id="rId20"/>
      <w:headerReference w:type="first" r:id="rId21"/>
      <w:footerReference w:type="first" r:id="rId22"/>
      <w:pgSz w:w="11906" w:h="16838"/>
      <w:pgMar w:top="1133" w:right="921" w:bottom="113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24E2" w14:textId="77777777" w:rsidR="001D6D8C" w:rsidRDefault="001D6D8C">
      <w:pPr>
        <w:spacing w:after="0" w:line="240" w:lineRule="auto"/>
      </w:pPr>
      <w:r>
        <w:separator/>
      </w:r>
    </w:p>
  </w:endnote>
  <w:endnote w:type="continuationSeparator" w:id="0">
    <w:p w14:paraId="6D45BAC0" w14:textId="77777777" w:rsidR="001D6D8C" w:rsidRDefault="001D6D8C">
      <w:pPr>
        <w:spacing w:after="0" w:line="240" w:lineRule="auto"/>
      </w:pPr>
      <w:r>
        <w:continuationSeparator/>
      </w:r>
    </w:p>
  </w:endnote>
  <w:endnote w:type="continuationNotice" w:id="1">
    <w:p w14:paraId="34463016" w14:textId="77777777" w:rsidR="001D6D8C" w:rsidRDefault="001D6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9E45" w14:textId="77777777" w:rsidR="002B3376" w:rsidRDefault="000C4AB1">
    <w:pPr>
      <w:spacing w:after="0" w:line="259" w:lineRule="auto"/>
      <w:ind w:left="0" w:right="155" w:firstLine="0"/>
      <w:jc w:val="right"/>
    </w:pPr>
    <w:r>
      <w:rPr>
        <w:sz w:val="16"/>
      </w:rPr>
      <w:t xml:space="preserve"> </w:t>
    </w:r>
  </w:p>
  <w:p w14:paraId="6A54B207" w14:textId="77777777" w:rsidR="002B3376" w:rsidRDefault="000C4AB1">
    <w:pPr>
      <w:spacing w:after="2" w:line="259" w:lineRule="auto"/>
      <w:ind w:left="0" w:right="155" w:firstLine="0"/>
      <w:jc w:val="right"/>
    </w:pPr>
    <w:r>
      <w:rPr>
        <w:sz w:val="16"/>
      </w:rPr>
      <w:t xml:space="preserve"> </w:t>
    </w:r>
  </w:p>
  <w:p w14:paraId="4E3EA536" w14:textId="77777777" w:rsidR="002B3376" w:rsidRDefault="000C4AB1">
    <w:pPr>
      <w:spacing w:after="0" w:line="259" w:lineRule="auto"/>
      <w:ind w:left="0" w:right="213"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41491649" w14:textId="77777777" w:rsidR="00DE5A26" w:rsidRDefault="00DE5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416C" w14:textId="77777777" w:rsidR="002B3376" w:rsidRDefault="000C4AB1">
    <w:pPr>
      <w:spacing w:after="0" w:line="259" w:lineRule="auto"/>
      <w:ind w:left="0" w:right="155" w:firstLine="0"/>
      <w:jc w:val="right"/>
    </w:pPr>
    <w:r>
      <w:rPr>
        <w:sz w:val="16"/>
      </w:rPr>
      <w:t xml:space="preserve"> </w:t>
    </w:r>
  </w:p>
  <w:p w14:paraId="6BD7B5E2" w14:textId="77777777" w:rsidR="002B3376" w:rsidRDefault="000C4AB1">
    <w:pPr>
      <w:spacing w:after="2" w:line="259" w:lineRule="auto"/>
      <w:ind w:left="0" w:right="155" w:firstLine="0"/>
      <w:jc w:val="right"/>
    </w:pPr>
    <w:r>
      <w:rPr>
        <w:sz w:val="16"/>
      </w:rPr>
      <w:t xml:space="preserve"> </w:t>
    </w:r>
  </w:p>
  <w:p w14:paraId="4D697D49" w14:textId="77777777" w:rsidR="002B3376" w:rsidRDefault="000C4AB1">
    <w:pPr>
      <w:spacing w:after="0" w:line="259" w:lineRule="auto"/>
      <w:ind w:left="0" w:right="213"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393C5E97" w14:textId="77777777" w:rsidR="00DE5A26" w:rsidRDefault="00DE5A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4CA0" w14:textId="77777777" w:rsidR="002B3376" w:rsidRDefault="002B337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547E" w14:textId="77777777" w:rsidR="001D6D8C" w:rsidRDefault="001D6D8C">
      <w:pPr>
        <w:spacing w:after="0" w:line="216" w:lineRule="auto"/>
        <w:ind w:left="89" w:right="2182" w:hanging="89"/>
        <w:jc w:val="left"/>
      </w:pPr>
      <w:r>
        <w:separator/>
      </w:r>
    </w:p>
  </w:footnote>
  <w:footnote w:type="continuationSeparator" w:id="0">
    <w:p w14:paraId="303724F2" w14:textId="77777777" w:rsidR="001D6D8C" w:rsidRDefault="001D6D8C">
      <w:pPr>
        <w:spacing w:after="0" w:line="216" w:lineRule="auto"/>
        <w:ind w:left="89" w:right="2182" w:hanging="89"/>
        <w:jc w:val="left"/>
      </w:pPr>
      <w:r>
        <w:continuationSeparator/>
      </w:r>
    </w:p>
  </w:footnote>
  <w:footnote w:type="continuationNotice" w:id="1">
    <w:p w14:paraId="33A7455B" w14:textId="77777777" w:rsidR="001D6D8C" w:rsidRDefault="001D6D8C">
      <w:pPr>
        <w:spacing w:after="0" w:line="240" w:lineRule="auto"/>
      </w:pPr>
    </w:p>
  </w:footnote>
  <w:footnote w:id="2">
    <w:p w14:paraId="5C94184F" w14:textId="77777777" w:rsidR="006C687A" w:rsidRDefault="006C687A" w:rsidP="006C687A">
      <w:pPr>
        <w:pStyle w:val="FootnoteText"/>
      </w:pPr>
      <w:r>
        <w:rPr>
          <w:rStyle w:val="FootnoteReference"/>
        </w:rPr>
        <w:footnoteRef/>
      </w:r>
      <w:r>
        <w:t xml:space="preserve"> </w:t>
      </w:r>
      <w:hyperlink r:id="rId1" w:history="1">
        <w:r w:rsidRPr="008368C9">
          <w:rPr>
            <w:rStyle w:val="Hyperlink"/>
          </w:rPr>
          <w:t>https://data.consilium.europa.eu/doc/document/PE-5-2024-INIT/en/pdf</w:t>
        </w:r>
      </w:hyperlink>
    </w:p>
  </w:footnote>
  <w:footnote w:id="3">
    <w:p w14:paraId="6553BE2E" w14:textId="169040F0" w:rsidR="006D390E" w:rsidRDefault="006D390E" w:rsidP="008368C9">
      <w:pPr>
        <w:pStyle w:val="FootnoteText"/>
        <w:jc w:val="left"/>
      </w:pPr>
      <w:r>
        <w:rPr>
          <w:rStyle w:val="FootnoteReference"/>
        </w:rPr>
        <w:footnoteRef/>
      </w:r>
      <w:r w:rsidR="000C46CF">
        <w:t xml:space="preserve"> </w:t>
      </w:r>
      <w:hyperlink r:id="rId2" w:history="1">
        <w:r w:rsidR="00891DEE" w:rsidRPr="008368C9">
          <w:rPr>
            <w:rStyle w:val="Hyperlink"/>
          </w:rPr>
          <w:t>https://www.eiopa.europa.eu/document/download/3c7759d5-a97a-4bc4-bfae-875c5d460d56_en?filename=Opinion%20on%20the%202020%20review%20of%20Solvency%20II.pdf</w:t>
        </w:r>
      </w:hyperlink>
    </w:p>
  </w:footnote>
  <w:footnote w:id="4">
    <w:p w14:paraId="59ECA9E5" w14:textId="7B504041" w:rsidR="00891DEE" w:rsidRDefault="00891DEE">
      <w:pPr>
        <w:pStyle w:val="FootnoteText"/>
      </w:pPr>
      <w:r>
        <w:rPr>
          <w:rStyle w:val="FootnoteReference"/>
        </w:rPr>
        <w:footnoteRef/>
      </w:r>
      <w:r>
        <w:t xml:space="preserve"> </w:t>
      </w:r>
      <w:hyperlink r:id="rId3" w:history="1">
        <w:r w:rsidRPr="008368C9">
          <w:rPr>
            <w:rStyle w:val="Hyperlink"/>
          </w:rPr>
          <w:t>eur-lex.europa.eu/legal-content/EN/TXT/PDF/?uri=CELEX:52021DC0580</w:t>
        </w:r>
      </w:hyperlink>
    </w:p>
  </w:footnote>
  <w:footnote w:id="5">
    <w:p w14:paraId="06CC72AC" w14:textId="1649EFCE" w:rsidR="00353DBD" w:rsidRPr="00353DBD" w:rsidRDefault="00353DBD">
      <w:pPr>
        <w:pStyle w:val="FootnoteText"/>
      </w:pPr>
      <w:r>
        <w:rPr>
          <w:rStyle w:val="FootnoteReference"/>
        </w:rPr>
        <w:footnoteRef/>
      </w:r>
      <w:r>
        <w:t xml:space="preserve"> </w:t>
      </w:r>
      <w:hyperlink r:id="rId4" w:history="1">
        <w:r w:rsidRPr="008368C9">
          <w:rPr>
            <w:rStyle w:val="Hyperlink"/>
          </w:rPr>
          <w:t>https://www.eiopa.europa.eu/browse/regulation-and-policy/solvency-ii/2020-review-solvency-ii/solvency-ii-review-information-request-national-supervisory-authorities_en</w:t>
        </w:r>
      </w:hyperlink>
    </w:p>
  </w:footnote>
  <w:footnote w:id="6">
    <w:p w14:paraId="3AE2CBE1" w14:textId="700E5CE7" w:rsidR="00115126" w:rsidRDefault="00115126">
      <w:pPr>
        <w:pStyle w:val="FootnoteText"/>
      </w:pPr>
      <w:r>
        <w:rPr>
          <w:rStyle w:val="FootnoteReference"/>
        </w:rPr>
        <w:footnoteRef/>
      </w:r>
      <w:r>
        <w:t xml:space="preserve"> </w:t>
      </w:r>
      <w:hyperlink r:id="rId5" w:history="1">
        <w:r w:rsidRPr="00115126">
          <w:rPr>
            <w:rStyle w:val="Hyperlink"/>
          </w:rPr>
          <w:t>Opinion on the 2020 review of Solvency II - EIOPA</w:t>
        </w:r>
      </w:hyperlink>
    </w:p>
  </w:footnote>
  <w:footnote w:id="7">
    <w:p w14:paraId="4E0E45BD" w14:textId="185F9D39" w:rsidR="002B3376" w:rsidRDefault="000C4AB1">
      <w:pPr>
        <w:pStyle w:val="footnotedescription"/>
      </w:pPr>
      <w:r>
        <w:rPr>
          <w:rStyle w:val="footnotemark"/>
        </w:rPr>
        <w:footnoteRef/>
      </w:r>
      <w:r>
        <w:t xml:space="preserve"> Where undertakings have only liabilities in one currency or business in a particular currency already makes up more than 90% of the business, it is sufficient to fill in </w:t>
      </w:r>
      <w:r w:rsidRPr="00004166">
        <w:t xml:space="preserve">column </w:t>
      </w:r>
      <w:r w:rsidR="006D6890" w:rsidRPr="00880236">
        <w:t>D</w:t>
      </w:r>
      <w:r>
        <w:t xml:space="preserve">, the others can be left blank. Where undertakings have liabilities in more than one currency, a reporting by currency is requested (where currencies are added in descending  order of materiality) up and until the business reported exceeds the threshold of 90% or the maximum of five currencies is reached. </w:t>
      </w:r>
    </w:p>
  </w:footnote>
  <w:footnote w:id="8">
    <w:p w14:paraId="14965315" w14:textId="77777777" w:rsidR="002B3376" w:rsidRDefault="000C4AB1">
      <w:pPr>
        <w:pStyle w:val="footnotedescription"/>
      </w:pPr>
      <w:r>
        <w:rPr>
          <w:rStyle w:val="footnotemark"/>
        </w:rPr>
        <w:footnoteRef/>
      </w:r>
      <w:r>
        <w:t xml:space="preserve"> Note that, according to the Commission Implementing Regulation (EU) 2015/2450, this cell is defined as the ‘residual modified duration’ (modified duration calculated based on the remaining time for maturity of the security, counted from the reporting reference date). For assets without fixed maturity the first call date shall be used. The duration shall be calculated based on economic value.  </w:t>
      </w:r>
    </w:p>
  </w:footnote>
  <w:footnote w:id="9">
    <w:p w14:paraId="3F058AC5" w14:textId="77777777" w:rsidR="00162201" w:rsidRDefault="00162201" w:rsidP="00162201">
      <w:pPr>
        <w:pStyle w:val="footnotedescription"/>
      </w:pPr>
      <w:r>
        <w:rPr>
          <w:rStyle w:val="footnotemark"/>
        </w:rPr>
        <w:footnoteRef/>
      </w:r>
      <w:r>
        <w:t xml:space="preserve"> Note that undertakings do not have to assign investments to either backing or not backing the liabilities when determining </w:t>
      </w:r>
      <w:r>
        <w:rPr>
          <w:rFonts w:ascii="Cambria Math" w:eastAsia="Cambria Math" w:hAnsi="Cambria Math" w:cs="Cambria Math"/>
        </w:rPr>
        <w:t>𝑀𝑉</w:t>
      </w:r>
      <w:r>
        <w:rPr>
          <w:rFonts w:ascii="Cambria Math" w:eastAsia="Cambria Math" w:hAnsi="Cambria Math" w:cs="Cambria Math"/>
          <w:vertAlign w:val="subscript"/>
        </w:rPr>
        <w:t>𝑖</w:t>
      </w:r>
      <w:r>
        <w:rPr>
          <w:rFonts w:ascii="Cambria Math" w:eastAsia="Cambria Math" w:hAnsi="Cambria Math" w:cs="Cambria Math"/>
          <w:vertAlign w:val="superscript"/>
        </w:rPr>
        <w:t>𝐹𝐼</w:t>
      </w:r>
      <w:r>
        <w:rPr>
          <w:rFonts w:ascii="Cambria Math" w:eastAsia="Cambria Math" w:hAnsi="Cambria Math" w:cs="Cambria Math"/>
          <w:vertAlign w:val="subscript"/>
        </w:rPr>
        <w:t xml:space="preserve">,𝑐 </w:t>
      </w:r>
      <w:r>
        <w:t>, but only consider the investments in the currency of the liabilities as long as the undertaking is materially exposed to spread risk on these assets. This implies that assets of which the spread risk is hedged should not be taken into account.</w:t>
      </w:r>
    </w:p>
  </w:footnote>
  <w:footnote w:id="10">
    <w:p w14:paraId="5CE976E2" w14:textId="77777777" w:rsidR="002B3376" w:rsidRDefault="000C4AB1">
      <w:pPr>
        <w:pStyle w:val="footnotedescription"/>
        <w:spacing w:after="13"/>
      </w:pPr>
      <w:r>
        <w:rPr>
          <w:rStyle w:val="footnotemark"/>
        </w:rPr>
        <w:footnoteRef/>
      </w:r>
      <w:r>
        <w:t xml:space="preserve"> not including TP as a whole and net of reinsurance </w:t>
      </w:r>
      <w:proofErr w:type="spellStart"/>
      <w:r>
        <w:t>recoverables</w:t>
      </w:r>
      <w:proofErr w:type="spellEnd"/>
      <w:r>
        <w:t xml:space="preserve">. </w:t>
      </w:r>
    </w:p>
  </w:footnote>
  <w:footnote w:id="11">
    <w:p w14:paraId="0382A980" w14:textId="77777777" w:rsidR="002B3376" w:rsidRDefault="000C4AB1">
      <w:pPr>
        <w:pStyle w:val="footnotedescription"/>
      </w:pPr>
      <w:r>
        <w:rPr>
          <w:rStyle w:val="footnotemark"/>
        </w:rPr>
        <w:footnoteRef/>
      </w:r>
      <w:r>
        <w:t xml:space="preserve"> i.e. </w:t>
      </w:r>
      <w:r>
        <w:rPr>
          <w:rFonts w:ascii="Cambria Math" w:eastAsia="Cambria Math" w:hAnsi="Cambria Math" w:cs="Cambria Math"/>
        </w:rPr>
        <w:t>𝐺𝐴𝑅 ⋅ 𝑆𝑐𝑎𝑙𝑒</w:t>
      </w:r>
      <w:r>
        <w:rPr>
          <w:rFonts w:ascii="Cambria Math" w:eastAsia="Cambria Math" w:hAnsi="Cambria Math" w:cs="Cambria Math"/>
          <w:vertAlign w:val="subscript"/>
        </w:rPr>
        <w:t xml:space="preserve">𝑐 </w:t>
      </w:r>
      <w:r>
        <w:rPr>
          <w:rFonts w:ascii="Cambria Math" w:eastAsia="Cambria Math" w:hAnsi="Cambria Math" w:cs="Cambria Math"/>
        </w:rPr>
        <w:t>⋅ 𝑅𝐶_𝑆</w:t>
      </w:r>
      <w:r>
        <w:rPr>
          <w:rFonts w:ascii="Cambria Math" w:eastAsia="Cambria Math" w:hAnsi="Cambria Math" w:cs="Cambria Math"/>
          <w:vertAlign w:val="subscript"/>
        </w:rPr>
        <w:t>𝑐</w:t>
      </w:r>
      <w:r>
        <w:t xml:space="preserve"> is applied as the current VA up to the last liquid point (LLP) and then extrapolated to the UFR </w:t>
      </w:r>
    </w:p>
  </w:footnote>
  <w:footnote w:id="12">
    <w:p w14:paraId="2B4F363B" w14:textId="77777777" w:rsidR="002B3376" w:rsidRDefault="000C4AB1">
      <w:pPr>
        <w:pStyle w:val="footnotedescription"/>
      </w:pPr>
      <w:r>
        <w:rPr>
          <w:rStyle w:val="footnotemark"/>
        </w:rPr>
        <w:footnoteRef/>
      </w:r>
      <w:r>
        <w:t xml:space="preserve"> Cf. section 8 in the technical documentation of the methodology to derive EIOPA’s risk-free interest rate term structures </w:t>
      </w:r>
    </w:p>
  </w:footnote>
  <w:footnote w:id="13">
    <w:p w14:paraId="18E042C3" w14:textId="77777777" w:rsidR="002B3376" w:rsidRDefault="000C4AB1">
      <w:pPr>
        <w:pStyle w:val="footnotedescription"/>
      </w:pPr>
      <w:r>
        <w:rPr>
          <w:rStyle w:val="footnotemark"/>
        </w:rPr>
        <w:footnoteRef/>
      </w:r>
      <w:r>
        <w:t xml:space="preserve"> Cf. section 8 in the technical documentation of the methodology to derive EIOPA’s risk-free interest rate term structures </w:t>
      </w:r>
    </w:p>
  </w:footnote>
  <w:footnote w:id="14">
    <w:p w14:paraId="0CC73F41" w14:textId="78D74A92" w:rsidR="007E4EAF" w:rsidRDefault="007E4EAF" w:rsidP="007E4EAF">
      <w:pPr>
        <w:pStyle w:val="FootnoteText"/>
      </w:pPr>
      <w:r>
        <w:rPr>
          <w:rStyle w:val="FootnoteReference"/>
        </w:rPr>
        <w:footnoteRef/>
      </w:r>
      <w:r>
        <w:t xml:space="preserve"> </w:t>
      </w:r>
      <w:r w:rsidRPr="00CD2B87">
        <w:rPr>
          <w:sz w:val="16"/>
          <w:szCs w:val="24"/>
        </w:rPr>
        <w:t>This amendment includes in the Delegated Regulation the clarification already provided by EIOPA in Q&amp;A 1037.</w:t>
      </w:r>
    </w:p>
  </w:footnote>
  <w:footnote w:id="15">
    <w:p w14:paraId="190EE98F" w14:textId="08AEAAA2" w:rsidR="00115126" w:rsidRDefault="00115126">
      <w:pPr>
        <w:pStyle w:val="FootnoteText"/>
      </w:pPr>
      <w:r>
        <w:rPr>
          <w:rStyle w:val="FootnoteReference"/>
        </w:rPr>
        <w:footnoteRef/>
      </w:r>
      <w:r>
        <w:t xml:space="preserve"> </w:t>
      </w:r>
      <w:hyperlink r:id="rId6" w:history="1">
        <w:r w:rsidRPr="00115126">
          <w:rPr>
            <w:rStyle w:val="Hyperlink"/>
          </w:rPr>
          <w:t>Opinion on the 2020 review of Solvency II - EIOPA</w:t>
        </w:r>
      </w:hyperlink>
    </w:p>
  </w:footnote>
  <w:footnote w:id="16">
    <w:p w14:paraId="1E2CF4FB" w14:textId="7603856C" w:rsidR="0094149D" w:rsidRDefault="0094149D">
      <w:pPr>
        <w:pStyle w:val="FootnoteText"/>
      </w:pPr>
      <w:r>
        <w:rPr>
          <w:rStyle w:val="FootnoteReference"/>
        </w:rPr>
        <w:footnoteRef/>
      </w:r>
      <w:r>
        <w:t xml:space="preserve"> </w:t>
      </w:r>
      <w:hyperlink r:id="rId7" w:history="1">
        <w:r w:rsidRPr="0094149D">
          <w:rPr>
            <w:rStyle w:val="Hyperlink"/>
          </w:rPr>
          <w:t>326 - EIOPA</w:t>
        </w:r>
      </w:hyperlink>
    </w:p>
  </w:footnote>
  <w:footnote w:id="17">
    <w:p w14:paraId="38ADF3E2" w14:textId="188F5BF0" w:rsidR="00C91D78" w:rsidRDefault="00C91D78">
      <w:pPr>
        <w:pStyle w:val="FootnoteText"/>
      </w:pPr>
      <w:r>
        <w:rPr>
          <w:rStyle w:val="FootnoteReference"/>
        </w:rPr>
        <w:footnoteRef/>
      </w:r>
      <w:r>
        <w:t xml:space="preserve"> </w:t>
      </w:r>
      <w:hyperlink r:id="rId8" w:history="1">
        <w:r w:rsidR="00D926D0" w:rsidRPr="00D926D0">
          <w:rPr>
            <w:rStyle w:val="Hyperlink"/>
          </w:rPr>
          <w:t>Opinion on the 2023/2024 Reassessment of the Nat Cat Standard Formula - EIOPA</w:t>
        </w:r>
      </w:hyperlink>
    </w:p>
  </w:footnote>
  <w:footnote w:id="18">
    <w:p w14:paraId="7BBB0C15" w14:textId="7977CE61" w:rsidR="002C75D6" w:rsidRDefault="002C75D6">
      <w:pPr>
        <w:pStyle w:val="FootnoteText"/>
      </w:pPr>
      <w:r>
        <w:rPr>
          <w:rStyle w:val="FootnoteReference"/>
        </w:rPr>
        <w:footnoteRef/>
      </w:r>
      <w:r>
        <w:t xml:space="preserve"> specified in EIOPA’s ‘Opinion on the supervisory assessment of internal models including a dynamic volatility adjustment’ (‘DVA’), EIOPA-BoS-17/366</w:t>
      </w:r>
    </w:p>
  </w:footnote>
  <w:footnote w:id="19">
    <w:p w14:paraId="145C4E29" w14:textId="0B837F58" w:rsidR="00C649EE" w:rsidRDefault="00C649EE">
      <w:pPr>
        <w:pStyle w:val="FootnoteText"/>
      </w:pPr>
      <w:r>
        <w:rPr>
          <w:rStyle w:val="FootnoteReference"/>
        </w:rPr>
        <w:footnoteRef/>
      </w:r>
      <w:hyperlink r:id="rId9" w:history="1">
        <w:r w:rsidR="0072060B" w:rsidRPr="0072060B">
          <w:rPr>
            <w:rStyle w:val="Hyperlink"/>
          </w:rPr>
          <w:t>https://www.eiopa.europa.eu/document/download/5ed96239-ccc1-4716-af03-46edd0444bad_en?filename=Background%20analysis.pdf</w:t>
        </w:r>
      </w:hyperlink>
    </w:p>
  </w:footnote>
  <w:footnote w:id="20">
    <w:p w14:paraId="32713949" w14:textId="77777777" w:rsidR="002B3376" w:rsidRDefault="000C4AB1">
      <w:pPr>
        <w:pStyle w:val="footnotedescription"/>
      </w:pPr>
      <w:r>
        <w:rPr>
          <w:rStyle w:val="footnotemark"/>
        </w:rPr>
        <w:footnoteRef/>
      </w:r>
      <w:r>
        <w:t xml:space="preserve"> This class of business refers to the segment “Medical expense insurance” of the Delegated Regulation (ANNEX XIX). Please also refer to the relevant Q&amp;A (number 29). </w:t>
      </w:r>
    </w:p>
  </w:footnote>
  <w:footnote w:id="21">
    <w:p w14:paraId="3CAF7385" w14:textId="77777777" w:rsidR="002B3376" w:rsidRDefault="000C4AB1">
      <w:pPr>
        <w:pStyle w:val="footnotedescription"/>
      </w:pPr>
      <w:r>
        <w:rPr>
          <w:rStyle w:val="footnotemark"/>
        </w:rPr>
        <w:footnoteRef/>
      </w:r>
      <w:r>
        <w:t xml:space="preserve"> This class of business refers to the segment “Income protection insurance” of the Delegated Regulation (ANNEX XIX). Please also refer to the relevant Q&amp;A (number 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3641" w14:textId="1322EAB9" w:rsidR="00C17B91" w:rsidRDefault="00C17B91">
    <w:pPr>
      <w:pStyle w:val="Header"/>
    </w:pPr>
    <w:r>
      <w:rPr>
        <w:noProof/>
      </w:rPr>
      <mc:AlternateContent>
        <mc:Choice Requires="wps">
          <w:drawing>
            <wp:anchor distT="0" distB="0" distL="0" distR="0" simplePos="0" relativeHeight="251658240" behindDoc="0" locked="0" layoutInCell="1" allowOverlap="1" wp14:anchorId="3D936A1D" wp14:editId="09D79851">
              <wp:simplePos x="635" y="635"/>
              <wp:positionH relativeFrom="page">
                <wp:align>left</wp:align>
              </wp:positionH>
              <wp:positionV relativeFrom="page">
                <wp:align>top</wp:align>
              </wp:positionV>
              <wp:extent cx="1056005" cy="351155"/>
              <wp:effectExtent l="0" t="0" r="10795" b="10795"/>
              <wp:wrapNone/>
              <wp:docPr id="786590329" name="Text Box 2"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1155"/>
                      </a:xfrm>
                      <a:prstGeom prst="rect">
                        <a:avLst/>
                      </a:prstGeom>
                      <a:noFill/>
                      <a:ln>
                        <a:noFill/>
                      </a:ln>
                    </wps:spPr>
                    <wps:txbx>
                      <w:txbxContent>
                        <w:p w14:paraId="5D9500A6" w14:textId="3846C310" w:rsidR="00C17B91" w:rsidRPr="00C17B91" w:rsidRDefault="00C17B91" w:rsidP="00C17B91">
                          <w:pPr>
                            <w:spacing w:after="0"/>
                            <w:rPr>
                              <w:rFonts w:ascii="Calibri" w:eastAsia="Calibri" w:hAnsi="Calibri" w:cs="Calibri"/>
                              <w:noProof/>
                              <w:color w:val="7FAA39"/>
                              <w:sz w:val="20"/>
                              <w:szCs w:val="20"/>
                            </w:rPr>
                          </w:pPr>
                          <w:r w:rsidRPr="00C17B91">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936A1D" id="_x0000_t202" coordsize="21600,21600" o:spt="202" path="m,l,21600r21600,l21600,xe">
              <v:stroke joinstyle="miter"/>
              <v:path gradientshapeok="t" o:connecttype="rect"/>
            </v:shapetype>
            <v:shape id="Text Box 2" o:spid="_x0000_s1026" type="#_x0000_t202" alt="| DNB PUBLIC |" style="position:absolute;left:0;text-align:left;margin-left:0;margin-top:0;width:83.15pt;height:27.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" filled="f" stroked="f">
              <v:textbox style="mso-fit-shape-to-text:t" inset="20pt,15pt,0,0">
                <w:txbxContent>
                  <w:p w14:paraId="5D9500A6" w14:textId="3846C310" w:rsidR="00C17B91" w:rsidRPr="00C17B91" w:rsidRDefault="00C17B91" w:rsidP="00C17B91">
                    <w:pPr>
                      <w:spacing w:after="0"/>
                      <w:rPr>
                        <w:rFonts w:ascii="Calibri" w:eastAsia="Calibri" w:hAnsi="Calibri" w:cs="Calibri"/>
                        <w:noProof/>
                        <w:color w:val="7FAA39"/>
                        <w:sz w:val="20"/>
                        <w:szCs w:val="20"/>
                      </w:rPr>
                    </w:pPr>
                    <w:r w:rsidRPr="00C17B91">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FEA5" w14:textId="72EA2965" w:rsidR="00C17B91" w:rsidRDefault="00C17B91">
    <w:pPr>
      <w:pStyle w:val="Header"/>
    </w:pPr>
    <w:r>
      <w:rPr>
        <w:noProof/>
      </w:rPr>
      <mc:AlternateContent>
        <mc:Choice Requires="wps">
          <w:drawing>
            <wp:anchor distT="0" distB="0" distL="0" distR="0" simplePos="0" relativeHeight="251658241" behindDoc="0" locked="0" layoutInCell="1" allowOverlap="1" wp14:anchorId="1C42F769" wp14:editId="599C7FA6">
              <wp:simplePos x="635" y="635"/>
              <wp:positionH relativeFrom="page">
                <wp:align>left</wp:align>
              </wp:positionH>
              <wp:positionV relativeFrom="page">
                <wp:align>top</wp:align>
              </wp:positionV>
              <wp:extent cx="1056005" cy="351155"/>
              <wp:effectExtent l="0" t="0" r="10795" b="10795"/>
              <wp:wrapNone/>
              <wp:docPr id="937845718" name="Text Box 3"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1155"/>
                      </a:xfrm>
                      <a:prstGeom prst="rect">
                        <a:avLst/>
                      </a:prstGeom>
                      <a:noFill/>
                      <a:ln>
                        <a:noFill/>
                      </a:ln>
                    </wps:spPr>
                    <wps:txbx>
                      <w:txbxContent>
                        <w:p w14:paraId="1817C85C" w14:textId="636E1EAD" w:rsidR="00C17B91" w:rsidRPr="00C17B91" w:rsidRDefault="00C17B91" w:rsidP="00C17B91">
                          <w:pPr>
                            <w:spacing w:after="0"/>
                            <w:rPr>
                              <w:rFonts w:ascii="Calibri" w:eastAsia="Calibri" w:hAnsi="Calibri" w:cs="Calibri"/>
                              <w:noProof/>
                              <w:color w:val="7FAA39"/>
                              <w:sz w:val="20"/>
                              <w:szCs w:val="20"/>
                            </w:rPr>
                          </w:pPr>
                          <w:r w:rsidRPr="00C17B91">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42F769" id="_x0000_t202" coordsize="21600,21600" o:spt="202" path="m,l,21600r21600,l21600,xe">
              <v:stroke joinstyle="miter"/>
              <v:path gradientshapeok="t" o:connecttype="rect"/>
            </v:shapetype>
            <v:shape id="Text Box 3" o:spid="_x0000_s1027" type="#_x0000_t202" alt="| DNB PUBLIC |" style="position:absolute;left:0;text-align:left;margin-left:0;margin-top:0;width:83.15pt;height:27.6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" filled="f" stroked="f">
              <v:textbox style="mso-fit-shape-to-text:t" inset="20pt,15pt,0,0">
                <w:txbxContent>
                  <w:p w14:paraId="1817C85C" w14:textId="636E1EAD" w:rsidR="00C17B91" w:rsidRPr="00C17B91" w:rsidRDefault="00C17B91" w:rsidP="00C17B91">
                    <w:pPr>
                      <w:spacing w:after="0"/>
                      <w:rPr>
                        <w:rFonts w:ascii="Calibri" w:eastAsia="Calibri" w:hAnsi="Calibri" w:cs="Calibri"/>
                        <w:noProof/>
                        <w:color w:val="7FAA39"/>
                        <w:sz w:val="20"/>
                        <w:szCs w:val="20"/>
                      </w:rPr>
                    </w:pPr>
                    <w:r w:rsidRPr="00C17B91">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B301" w14:textId="714F8249" w:rsidR="00C17B91" w:rsidRDefault="00C17B91">
    <w:pPr>
      <w:pStyle w:val="Header"/>
    </w:pPr>
    <w:r>
      <w:rPr>
        <w:noProof/>
      </w:rPr>
      <mc:AlternateContent>
        <mc:Choice Requires="wps">
          <w:drawing>
            <wp:anchor distT="0" distB="0" distL="0" distR="0" simplePos="0" relativeHeight="251658242" behindDoc="0" locked="0" layoutInCell="1" allowOverlap="1" wp14:anchorId="124624A8" wp14:editId="79E17B92">
              <wp:simplePos x="635" y="635"/>
              <wp:positionH relativeFrom="page">
                <wp:align>left</wp:align>
              </wp:positionH>
              <wp:positionV relativeFrom="page">
                <wp:align>top</wp:align>
              </wp:positionV>
              <wp:extent cx="1056005" cy="351155"/>
              <wp:effectExtent l="0" t="0" r="10795" b="10795"/>
              <wp:wrapNone/>
              <wp:docPr id="1626468484" name="Text Box 1"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1155"/>
                      </a:xfrm>
                      <a:prstGeom prst="rect">
                        <a:avLst/>
                      </a:prstGeom>
                      <a:noFill/>
                      <a:ln>
                        <a:noFill/>
                      </a:ln>
                    </wps:spPr>
                    <wps:txbx>
                      <w:txbxContent>
                        <w:p w14:paraId="36CF0C92" w14:textId="40221A40" w:rsidR="00C17B91" w:rsidRPr="00C17B91" w:rsidRDefault="00C17B91" w:rsidP="00C17B91">
                          <w:pPr>
                            <w:spacing w:after="0"/>
                            <w:rPr>
                              <w:rFonts w:ascii="Calibri" w:eastAsia="Calibri" w:hAnsi="Calibri" w:cs="Calibri"/>
                              <w:noProof/>
                              <w:color w:val="7FAA39"/>
                              <w:sz w:val="20"/>
                              <w:szCs w:val="20"/>
                            </w:rPr>
                          </w:pPr>
                          <w:r w:rsidRPr="00C17B91">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4624A8" id="_x0000_t202" coordsize="21600,21600" o:spt="202" path="m,l,21600r21600,l21600,xe">
              <v:stroke joinstyle="miter"/>
              <v:path gradientshapeok="t" o:connecttype="rect"/>
            </v:shapetype>
            <v:shape id="Text Box 1" o:spid="_x0000_s1028" type="#_x0000_t202" alt="| DNB PUBLIC |" style="position:absolute;left:0;text-align:left;margin-left:0;margin-top:0;width:83.15pt;height:27.6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" filled="f" stroked="f">
              <v:textbox style="mso-fit-shape-to-text:t" inset="20pt,15pt,0,0">
                <w:txbxContent>
                  <w:p w14:paraId="36CF0C92" w14:textId="40221A40" w:rsidR="00C17B91" w:rsidRPr="00C17B91" w:rsidRDefault="00C17B91" w:rsidP="00C17B91">
                    <w:pPr>
                      <w:spacing w:after="0"/>
                      <w:rPr>
                        <w:rFonts w:ascii="Calibri" w:eastAsia="Calibri" w:hAnsi="Calibri" w:cs="Calibri"/>
                        <w:noProof/>
                        <w:color w:val="7FAA39"/>
                        <w:sz w:val="20"/>
                        <w:szCs w:val="20"/>
                      </w:rPr>
                    </w:pPr>
                    <w:r w:rsidRPr="00C17B91">
                      <w:rPr>
                        <w:rFonts w:ascii="Calibri" w:eastAsia="Calibri" w:hAnsi="Calibri" w:cs="Calibri"/>
                        <w:noProof/>
                        <w:color w:val="7FAA39"/>
                        <w:sz w:val="20"/>
                        <w:szCs w:val="20"/>
                      </w:rPr>
                      <w:t>| DNB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50"/>
    <w:multiLevelType w:val="hybridMultilevel"/>
    <w:tmpl w:val="31E486E4"/>
    <w:lvl w:ilvl="0" w:tplc="811C7E6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02022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D638E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F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9C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364E2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04F79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24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EB07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A7376"/>
    <w:multiLevelType w:val="hybridMultilevel"/>
    <w:tmpl w:val="AE06D05E"/>
    <w:lvl w:ilvl="0" w:tplc="4DEA7726">
      <w:start w:val="45"/>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26621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84712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98428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0C25C0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41EAA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7A82BA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2829B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2721AC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8125E5"/>
    <w:multiLevelType w:val="hybridMultilevel"/>
    <w:tmpl w:val="E25EB0CC"/>
    <w:lvl w:ilvl="0" w:tplc="0360CACC">
      <w:start w:val="6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6EC800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954F5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BEA3CE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E2CF02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B16712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0E2DD3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6C9D1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FCD1F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36109"/>
    <w:multiLevelType w:val="hybridMultilevel"/>
    <w:tmpl w:val="E920129C"/>
    <w:lvl w:ilvl="0" w:tplc="6604FD1C">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3861A3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F62D9A">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5FC4B9C">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5BEB382">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F90372C">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A4DB30">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3528846">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EE21582">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F23625"/>
    <w:multiLevelType w:val="hybridMultilevel"/>
    <w:tmpl w:val="DD2A2600"/>
    <w:lvl w:ilvl="0" w:tplc="305A44C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14ACED2">
      <w:start w:val="1"/>
      <w:numFmt w:val="lowerLetter"/>
      <w:lvlText w:val="%2"/>
      <w:lvlJc w:val="left"/>
      <w:pPr>
        <w:ind w:left="8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1CAD616">
      <w:start w:val="1"/>
      <w:numFmt w:val="decimal"/>
      <w:lvlRestart w:val="0"/>
      <w:lvlText w:val="%3."/>
      <w:lvlJc w:val="left"/>
      <w:pPr>
        <w:ind w:left="179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3A8CBEE">
      <w:start w:val="1"/>
      <w:numFmt w:val="decimal"/>
      <w:lvlText w:val="%4"/>
      <w:lvlJc w:val="left"/>
      <w:pPr>
        <w:ind w:left="215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84A47FA">
      <w:start w:val="1"/>
      <w:numFmt w:val="lowerLetter"/>
      <w:lvlText w:val="%5"/>
      <w:lvlJc w:val="left"/>
      <w:pPr>
        <w:ind w:left="28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89E0934">
      <w:start w:val="1"/>
      <w:numFmt w:val="lowerRoman"/>
      <w:lvlText w:val="%6"/>
      <w:lvlJc w:val="left"/>
      <w:pPr>
        <w:ind w:left="359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AE8F0E0">
      <w:start w:val="1"/>
      <w:numFmt w:val="decimal"/>
      <w:lvlText w:val="%7"/>
      <w:lvlJc w:val="left"/>
      <w:pPr>
        <w:ind w:left="43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78D93C">
      <w:start w:val="1"/>
      <w:numFmt w:val="lowerLetter"/>
      <w:lvlText w:val="%8"/>
      <w:lvlJc w:val="left"/>
      <w:pPr>
        <w:ind w:left="503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FE7D26">
      <w:start w:val="1"/>
      <w:numFmt w:val="lowerRoman"/>
      <w:lvlText w:val="%9"/>
      <w:lvlJc w:val="left"/>
      <w:pPr>
        <w:ind w:left="575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8F1BD8"/>
    <w:multiLevelType w:val="hybridMultilevel"/>
    <w:tmpl w:val="B8DAFFC2"/>
    <w:lvl w:ilvl="0" w:tplc="8384F094">
      <w:start w:val="6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CE322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002F2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D058F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A4AB2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45C52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B1830B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22EFF5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3423C0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A76828"/>
    <w:multiLevelType w:val="hybridMultilevel"/>
    <w:tmpl w:val="7C7C0256"/>
    <w:lvl w:ilvl="0" w:tplc="C3EA7720">
      <w:start w:val="3"/>
      <w:numFmt w:val="bullet"/>
      <w:lvlText w:val="-"/>
      <w:lvlJc w:val="left"/>
      <w:pPr>
        <w:ind w:left="720" w:hanging="360"/>
      </w:pPr>
      <w:rPr>
        <w:rFonts w:ascii="Verdana" w:eastAsia="Verdana" w:hAnsi="Verdana" w:cs="Verdan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F50E19"/>
    <w:multiLevelType w:val="hybridMultilevel"/>
    <w:tmpl w:val="22E4CFB0"/>
    <w:lvl w:ilvl="0" w:tplc="4460AC64">
      <w:start w:val="2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78975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B4FFD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0F4709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8FA065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B52A6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710503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2B0BB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B0C912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682CC9"/>
    <w:multiLevelType w:val="hybridMultilevel"/>
    <w:tmpl w:val="BD04C072"/>
    <w:lvl w:ilvl="0" w:tplc="91282494">
      <w:start w:val="7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996B1D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AA9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CCC5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CEA8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E831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109D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8A3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90F3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F71EF8"/>
    <w:multiLevelType w:val="hybridMultilevel"/>
    <w:tmpl w:val="9ABA5D10"/>
    <w:lvl w:ilvl="0" w:tplc="92C894FC">
      <w:start w:val="38"/>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42FC6A">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05E9A">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B62B36">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8833A">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06983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8C647E">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8AFE4">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5E8350">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744243"/>
    <w:multiLevelType w:val="hybridMultilevel"/>
    <w:tmpl w:val="A38CA27C"/>
    <w:lvl w:ilvl="0" w:tplc="F4724796">
      <w:start w:val="9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4229D56">
      <w:start w:val="1"/>
      <w:numFmt w:val="lowerLetter"/>
      <w:lvlText w:val="%2)"/>
      <w:lvlJc w:val="left"/>
      <w:pPr>
        <w:ind w:left="9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03057AA">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5BE1006">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3580524">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8D0005A">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D8FE4A">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F47084">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660D556">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6F6861"/>
    <w:multiLevelType w:val="hybridMultilevel"/>
    <w:tmpl w:val="2CF4E1D6"/>
    <w:lvl w:ilvl="0" w:tplc="0413000F">
      <w:start w:val="1"/>
      <w:numFmt w:val="decimal"/>
      <w:lvlText w:val="%1."/>
      <w:lvlJc w:val="left"/>
      <w:pPr>
        <w:ind w:left="705" w:hanging="360"/>
      </w:p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12" w15:restartNumberingAfterBreak="0">
    <w:nsid w:val="1391635E"/>
    <w:multiLevelType w:val="hybridMultilevel"/>
    <w:tmpl w:val="D3F63F62"/>
    <w:lvl w:ilvl="0" w:tplc="F7A063F8">
      <w:start w:val="132"/>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92EFD5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62F9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F297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6EB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625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CCE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0E0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E844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4E17E9"/>
    <w:multiLevelType w:val="hybridMultilevel"/>
    <w:tmpl w:val="FFD8B788"/>
    <w:lvl w:ilvl="0" w:tplc="729C30A4">
      <w:start w:val="8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86682D4">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8A3666">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1434B2">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23B12">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A1C50">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F26884">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061CA">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6896A">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574F73"/>
    <w:multiLevelType w:val="hybridMultilevel"/>
    <w:tmpl w:val="5C3282E6"/>
    <w:lvl w:ilvl="0" w:tplc="367C7E2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56680E4">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0CDA4C">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836894E">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A0834C">
      <w:start w:val="1"/>
      <w:numFmt w:val="bullet"/>
      <w:lvlText w:val="o"/>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0D8CEAE">
      <w:start w:val="1"/>
      <w:numFmt w:val="bullet"/>
      <w:lvlText w:val="▪"/>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FAA048">
      <w:start w:val="1"/>
      <w:numFmt w:val="bullet"/>
      <w:lvlText w:val="•"/>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6D8A950">
      <w:start w:val="1"/>
      <w:numFmt w:val="bullet"/>
      <w:lvlText w:val="o"/>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8BAE404">
      <w:start w:val="1"/>
      <w:numFmt w:val="bullet"/>
      <w:lvlText w:val="▪"/>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561D7B"/>
    <w:multiLevelType w:val="hybridMultilevel"/>
    <w:tmpl w:val="4036CD64"/>
    <w:lvl w:ilvl="0" w:tplc="FFB2F754">
      <w:start w:val="9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56887B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A0205C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9C4F6A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B9CA10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B701AA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C8A035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100176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3E4AC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706F89"/>
    <w:multiLevelType w:val="hybridMultilevel"/>
    <w:tmpl w:val="521665CE"/>
    <w:lvl w:ilvl="0" w:tplc="20BACE36">
      <w:start w:val="3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8526B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DC7B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9AA9C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7E00B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C38E1A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A2C569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E2632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6C4F6C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BC166DB"/>
    <w:multiLevelType w:val="hybridMultilevel"/>
    <w:tmpl w:val="6142B74E"/>
    <w:lvl w:ilvl="0" w:tplc="D71CC6E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616F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BA56E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3458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6E1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48278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9C30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EF89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78E07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FB2466"/>
    <w:multiLevelType w:val="hybridMultilevel"/>
    <w:tmpl w:val="417A60F6"/>
    <w:lvl w:ilvl="0" w:tplc="363AC0C2">
      <w:start w:val="7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6A0C99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4C8E68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FCBDD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54E2E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7042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286775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DE684E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02642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F84340"/>
    <w:multiLevelType w:val="hybridMultilevel"/>
    <w:tmpl w:val="4FD04EB0"/>
    <w:lvl w:ilvl="0" w:tplc="131C63BC">
      <w:start w:val="48"/>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58027D4">
      <w:start w:val="1"/>
      <w:numFmt w:val="lowerRoman"/>
      <w:lvlText w:val="%2."/>
      <w:lvlJc w:val="left"/>
      <w:pPr>
        <w:ind w:left="13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9E04FF4">
      <w:start w:val="1"/>
      <w:numFmt w:val="lowerRoman"/>
      <w:lvlText w:val="%3"/>
      <w:lvlJc w:val="left"/>
      <w:pPr>
        <w:ind w:left="18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56CDF16">
      <w:start w:val="1"/>
      <w:numFmt w:val="decimal"/>
      <w:lvlText w:val="%4"/>
      <w:lvlJc w:val="left"/>
      <w:pPr>
        <w:ind w:left="25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E6818E6">
      <w:start w:val="1"/>
      <w:numFmt w:val="lowerLetter"/>
      <w:lvlText w:val="%5"/>
      <w:lvlJc w:val="left"/>
      <w:pPr>
        <w:ind w:left="327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4E2778A">
      <w:start w:val="1"/>
      <w:numFmt w:val="lowerRoman"/>
      <w:lvlText w:val="%6"/>
      <w:lvlJc w:val="left"/>
      <w:pPr>
        <w:ind w:left="39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6949FCA">
      <w:start w:val="1"/>
      <w:numFmt w:val="decimal"/>
      <w:lvlText w:val="%7"/>
      <w:lvlJc w:val="left"/>
      <w:pPr>
        <w:ind w:left="47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7E6BE6C">
      <w:start w:val="1"/>
      <w:numFmt w:val="lowerLetter"/>
      <w:lvlText w:val="%8"/>
      <w:lvlJc w:val="left"/>
      <w:pPr>
        <w:ind w:left="54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F52CC10">
      <w:start w:val="1"/>
      <w:numFmt w:val="lowerRoman"/>
      <w:lvlText w:val="%9"/>
      <w:lvlJc w:val="left"/>
      <w:pPr>
        <w:ind w:left="61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6C5D1B"/>
    <w:multiLevelType w:val="hybridMultilevel"/>
    <w:tmpl w:val="52562768"/>
    <w:lvl w:ilvl="0" w:tplc="1D94394A">
      <w:start w:val="15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826B72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17864D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48522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1ECC99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D1A12F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5A37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60E8A4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13031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5B0044"/>
    <w:multiLevelType w:val="hybridMultilevel"/>
    <w:tmpl w:val="84926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3C67487"/>
    <w:multiLevelType w:val="hybridMultilevel"/>
    <w:tmpl w:val="7CC6347E"/>
    <w:lvl w:ilvl="0" w:tplc="2828FEFA">
      <w:start w:val="8"/>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4EA3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A0097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1F2915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0249E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3A0CDA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B2832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E00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E3ADD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534386"/>
    <w:multiLevelType w:val="hybridMultilevel"/>
    <w:tmpl w:val="4E849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6A942E0"/>
    <w:multiLevelType w:val="hybridMultilevel"/>
    <w:tmpl w:val="6806066A"/>
    <w:lvl w:ilvl="0" w:tplc="E2AA4ACE">
      <w:start w:val="1"/>
      <w:numFmt w:val="decimal"/>
      <w:lvlText w:val="%1."/>
      <w:lvlJc w:val="left"/>
      <w:pPr>
        <w:ind w:left="566"/>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1B8C503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6F1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40B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8F6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A056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89D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FA98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7E7A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AAB6ADA"/>
    <w:multiLevelType w:val="hybridMultilevel"/>
    <w:tmpl w:val="D98444CC"/>
    <w:lvl w:ilvl="0" w:tplc="C3426414">
      <w:start w:val="6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56EDA4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9234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A9C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487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C662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C022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6DE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76E5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566FEF"/>
    <w:multiLevelType w:val="hybridMultilevel"/>
    <w:tmpl w:val="04F228AA"/>
    <w:lvl w:ilvl="0" w:tplc="04130013">
      <w:start w:val="1"/>
      <w:numFmt w:val="upperRoman"/>
      <w:lvlText w:val="%1."/>
      <w:lvlJc w:val="right"/>
      <w:pPr>
        <w:ind w:left="1980" w:hanging="360"/>
      </w:pPr>
      <w:rPr>
        <w:rFonts w:hint="default"/>
      </w:rPr>
    </w:lvl>
    <w:lvl w:ilvl="1" w:tplc="04130003" w:tentative="1">
      <w:start w:val="1"/>
      <w:numFmt w:val="bullet"/>
      <w:lvlText w:val="o"/>
      <w:lvlJc w:val="left"/>
      <w:pPr>
        <w:ind w:left="2700" w:hanging="360"/>
      </w:pPr>
      <w:rPr>
        <w:rFonts w:ascii="Courier New" w:hAnsi="Courier New" w:cs="Courier New" w:hint="default"/>
      </w:rPr>
    </w:lvl>
    <w:lvl w:ilvl="2" w:tplc="04130005" w:tentative="1">
      <w:start w:val="1"/>
      <w:numFmt w:val="bullet"/>
      <w:lvlText w:val=""/>
      <w:lvlJc w:val="left"/>
      <w:pPr>
        <w:ind w:left="3420" w:hanging="360"/>
      </w:pPr>
      <w:rPr>
        <w:rFonts w:ascii="Wingdings" w:hAnsi="Wingdings" w:hint="default"/>
      </w:rPr>
    </w:lvl>
    <w:lvl w:ilvl="3" w:tplc="04130001" w:tentative="1">
      <w:start w:val="1"/>
      <w:numFmt w:val="bullet"/>
      <w:lvlText w:val=""/>
      <w:lvlJc w:val="left"/>
      <w:pPr>
        <w:ind w:left="4140" w:hanging="360"/>
      </w:pPr>
      <w:rPr>
        <w:rFonts w:ascii="Symbol" w:hAnsi="Symbol" w:hint="default"/>
      </w:rPr>
    </w:lvl>
    <w:lvl w:ilvl="4" w:tplc="04130003" w:tentative="1">
      <w:start w:val="1"/>
      <w:numFmt w:val="bullet"/>
      <w:lvlText w:val="o"/>
      <w:lvlJc w:val="left"/>
      <w:pPr>
        <w:ind w:left="4860" w:hanging="360"/>
      </w:pPr>
      <w:rPr>
        <w:rFonts w:ascii="Courier New" w:hAnsi="Courier New" w:cs="Courier New" w:hint="default"/>
      </w:rPr>
    </w:lvl>
    <w:lvl w:ilvl="5" w:tplc="04130005" w:tentative="1">
      <w:start w:val="1"/>
      <w:numFmt w:val="bullet"/>
      <w:lvlText w:val=""/>
      <w:lvlJc w:val="left"/>
      <w:pPr>
        <w:ind w:left="5580" w:hanging="360"/>
      </w:pPr>
      <w:rPr>
        <w:rFonts w:ascii="Wingdings" w:hAnsi="Wingdings" w:hint="default"/>
      </w:rPr>
    </w:lvl>
    <w:lvl w:ilvl="6" w:tplc="04130001" w:tentative="1">
      <w:start w:val="1"/>
      <w:numFmt w:val="bullet"/>
      <w:lvlText w:val=""/>
      <w:lvlJc w:val="left"/>
      <w:pPr>
        <w:ind w:left="6300" w:hanging="360"/>
      </w:pPr>
      <w:rPr>
        <w:rFonts w:ascii="Symbol" w:hAnsi="Symbol" w:hint="default"/>
      </w:rPr>
    </w:lvl>
    <w:lvl w:ilvl="7" w:tplc="04130003" w:tentative="1">
      <w:start w:val="1"/>
      <w:numFmt w:val="bullet"/>
      <w:lvlText w:val="o"/>
      <w:lvlJc w:val="left"/>
      <w:pPr>
        <w:ind w:left="7020" w:hanging="360"/>
      </w:pPr>
      <w:rPr>
        <w:rFonts w:ascii="Courier New" w:hAnsi="Courier New" w:cs="Courier New" w:hint="default"/>
      </w:rPr>
    </w:lvl>
    <w:lvl w:ilvl="8" w:tplc="04130005" w:tentative="1">
      <w:start w:val="1"/>
      <w:numFmt w:val="bullet"/>
      <w:lvlText w:val=""/>
      <w:lvlJc w:val="left"/>
      <w:pPr>
        <w:ind w:left="7740" w:hanging="360"/>
      </w:pPr>
      <w:rPr>
        <w:rFonts w:ascii="Wingdings" w:hAnsi="Wingdings" w:hint="default"/>
      </w:rPr>
    </w:lvl>
  </w:abstractNum>
  <w:abstractNum w:abstractNumId="27" w15:restartNumberingAfterBreak="0">
    <w:nsid w:val="45017721"/>
    <w:multiLevelType w:val="hybridMultilevel"/>
    <w:tmpl w:val="FB9C5A82"/>
    <w:lvl w:ilvl="0" w:tplc="BCE89AB4">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AA805B4">
      <w:start w:val="1"/>
      <w:numFmt w:val="bullet"/>
      <w:lvlText w:val="o"/>
      <w:lvlJc w:val="left"/>
      <w:pPr>
        <w:ind w:left="24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E9CD2CE">
      <w:start w:val="1"/>
      <w:numFmt w:val="bullet"/>
      <w:lvlText w:val="▪"/>
      <w:lvlJc w:val="left"/>
      <w:pPr>
        <w:ind w:left="31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2BC6ED2">
      <w:start w:val="1"/>
      <w:numFmt w:val="bullet"/>
      <w:lvlText w:val="•"/>
      <w:lvlJc w:val="left"/>
      <w:pPr>
        <w:ind w:left="39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8A2A11A">
      <w:start w:val="1"/>
      <w:numFmt w:val="bullet"/>
      <w:lvlText w:val="o"/>
      <w:lvlJc w:val="left"/>
      <w:pPr>
        <w:ind w:left="46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98EC1C6">
      <w:start w:val="1"/>
      <w:numFmt w:val="bullet"/>
      <w:lvlText w:val="▪"/>
      <w:lvlJc w:val="left"/>
      <w:pPr>
        <w:ind w:left="53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A6E969C">
      <w:start w:val="1"/>
      <w:numFmt w:val="bullet"/>
      <w:lvlText w:val="•"/>
      <w:lvlJc w:val="left"/>
      <w:pPr>
        <w:ind w:left="60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B0620C">
      <w:start w:val="1"/>
      <w:numFmt w:val="bullet"/>
      <w:lvlText w:val="o"/>
      <w:lvlJc w:val="left"/>
      <w:pPr>
        <w:ind w:left="67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064D78">
      <w:start w:val="1"/>
      <w:numFmt w:val="bullet"/>
      <w:lvlText w:val="▪"/>
      <w:lvlJc w:val="left"/>
      <w:pPr>
        <w:ind w:left="75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E11F0A"/>
    <w:multiLevelType w:val="hybridMultilevel"/>
    <w:tmpl w:val="D1F6506E"/>
    <w:lvl w:ilvl="0" w:tplc="66A42B10">
      <w:start w:val="1"/>
      <w:numFmt w:val="lowerLetter"/>
      <w:lvlText w:val="(%1)"/>
      <w:lvlJc w:val="left"/>
      <w:pPr>
        <w:ind w:left="6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B74FE00">
      <w:start w:val="1"/>
      <w:numFmt w:val="lowerLetter"/>
      <w:lvlText w:val="%2"/>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888A2B6">
      <w:start w:val="1"/>
      <w:numFmt w:val="lowerRoman"/>
      <w:lvlText w:val="%3"/>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220DB60">
      <w:start w:val="1"/>
      <w:numFmt w:val="decimal"/>
      <w:lvlText w:val="%4"/>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284700A">
      <w:start w:val="1"/>
      <w:numFmt w:val="lowerLetter"/>
      <w:lvlText w:val="%5"/>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2888598">
      <w:start w:val="1"/>
      <w:numFmt w:val="lowerRoman"/>
      <w:lvlText w:val="%6"/>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83EEBA4">
      <w:start w:val="1"/>
      <w:numFmt w:val="decimal"/>
      <w:lvlText w:val="%7"/>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FEA638E">
      <w:start w:val="1"/>
      <w:numFmt w:val="lowerLetter"/>
      <w:lvlText w:val="%8"/>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1A0E182">
      <w:start w:val="1"/>
      <w:numFmt w:val="lowerRoman"/>
      <w:lvlText w:val="%9"/>
      <w:lvlJc w:val="left"/>
      <w:pPr>
        <w:ind w:left="64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4659764E"/>
    <w:multiLevelType w:val="hybridMultilevel"/>
    <w:tmpl w:val="BF5CD7DC"/>
    <w:lvl w:ilvl="0" w:tplc="BB52D3FE">
      <w:start w:val="1"/>
      <w:numFmt w:val="bullet"/>
      <w:lvlText w:val="•"/>
      <w:lvlJc w:val="left"/>
      <w:pPr>
        <w:ind w:left="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67C8E">
      <w:start w:val="1"/>
      <w:numFmt w:val="bullet"/>
      <w:lvlText w:val="o"/>
      <w:lvlJc w:val="left"/>
      <w:pPr>
        <w:ind w:left="1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C075D0">
      <w:start w:val="1"/>
      <w:numFmt w:val="bullet"/>
      <w:lvlText w:val="▪"/>
      <w:lvlJc w:val="left"/>
      <w:pPr>
        <w:ind w:left="2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3681E4">
      <w:start w:val="1"/>
      <w:numFmt w:val="bullet"/>
      <w:lvlText w:val="•"/>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ECF04">
      <w:start w:val="1"/>
      <w:numFmt w:val="bullet"/>
      <w:lvlText w:val="o"/>
      <w:lvlJc w:val="left"/>
      <w:pPr>
        <w:ind w:left="3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4A5AC">
      <w:start w:val="1"/>
      <w:numFmt w:val="bullet"/>
      <w:lvlText w:val="▪"/>
      <w:lvlJc w:val="left"/>
      <w:pPr>
        <w:ind w:left="4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74B7BC">
      <w:start w:val="1"/>
      <w:numFmt w:val="bullet"/>
      <w:lvlText w:val="•"/>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E7998">
      <w:start w:val="1"/>
      <w:numFmt w:val="bullet"/>
      <w:lvlText w:val="o"/>
      <w:lvlJc w:val="left"/>
      <w:pPr>
        <w:ind w:left="5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28323A">
      <w:start w:val="1"/>
      <w:numFmt w:val="bullet"/>
      <w:lvlText w:val="▪"/>
      <w:lvlJc w:val="left"/>
      <w:pPr>
        <w:ind w:left="6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534161"/>
    <w:multiLevelType w:val="hybridMultilevel"/>
    <w:tmpl w:val="B4C6A972"/>
    <w:lvl w:ilvl="0" w:tplc="2BC22E8A">
      <w:start w:val="58"/>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60F7F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E0B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D4DD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EF3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1689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A79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A2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8C0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FC7000"/>
    <w:multiLevelType w:val="hybridMultilevel"/>
    <w:tmpl w:val="068C685C"/>
    <w:lvl w:ilvl="0" w:tplc="1638BC82">
      <w:start w:val="2"/>
      <w:numFmt w:val="decimal"/>
      <w:lvlText w:val="%1"/>
      <w:lvlJc w:val="left"/>
      <w:pPr>
        <w:ind w:left="1358" w:firstLine="0"/>
      </w:pPr>
      <w:rPr>
        <w:rFonts w:ascii="Calibri" w:eastAsia="Calibri" w:hAnsi="Calibri" w:cs="Calibri"/>
        <w:b w:val="0"/>
        <w:i w:val="0"/>
        <w:strike w:val="0"/>
        <w:dstrike w:val="0"/>
        <w:color w:val="000000"/>
        <w:sz w:val="16"/>
        <w:szCs w:val="16"/>
        <w:u w:val="none" w:color="000000"/>
        <w:effect w:val="none"/>
        <w:bdr w:val="none" w:sz="0" w:space="0" w:color="auto" w:frame="1"/>
        <w:vertAlign w:val="superscript"/>
      </w:rPr>
    </w:lvl>
    <w:lvl w:ilvl="1" w:tplc="756E86CE">
      <w:start w:val="4"/>
      <w:numFmt w:val="lowerLetter"/>
      <w:lvlText w:val="(%2)"/>
      <w:lvlJc w:val="left"/>
      <w:pPr>
        <w:ind w:left="19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63C2DFC">
      <w:start w:val="1"/>
      <w:numFmt w:val="lowerRoman"/>
      <w:lvlText w:val="%3"/>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D06E376">
      <w:start w:val="1"/>
      <w:numFmt w:val="decimal"/>
      <w:lvlText w:val="%4"/>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E0ACA10">
      <w:start w:val="1"/>
      <w:numFmt w:val="lowerLetter"/>
      <w:lvlText w:val="%5"/>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6DC3DF4">
      <w:start w:val="1"/>
      <w:numFmt w:val="lowerRoman"/>
      <w:lvlText w:val="%6"/>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AE0D676">
      <w:start w:val="1"/>
      <w:numFmt w:val="decimal"/>
      <w:lvlText w:val="%7"/>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BBA1C5C">
      <w:start w:val="1"/>
      <w:numFmt w:val="lowerLetter"/>
      <w:lvlText w:val="%8"/>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A5A6088">
      <w:start w:val="1"/>
      <w:numFmt w:val="lowerRoman"/>
      <w:lvlText w:val="%9"/>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4F315F95"/>
    <w:multiLevelType w:val="hybridMultilevel"/>
    <w:tmpl w:val="44F83716"/>
    <w:lvl w:ilvl="0" w:tplc="93B63474">
      <w:start w:val="65"/>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19626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4CC65A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D3E95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FA907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9722F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AF6838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9CE96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E54AD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AA7F8E"/>
    <w:multiLevelType w:val="hybridMultilevel"/>
    <w:tmpl w:val="A0FC91C4"/>
    <w:lvl w:ilvl="0" w:tplc="A51EDC9E">
      <w:start w:val="140"/>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5742F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74E2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4CC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0FD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A7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ED6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A32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C2C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753B46"/>
    <w:multiLevelType w:val="hybridMultilevel"/>
    <w:tmpl w:val="46BE69B4"/>
    <w:lvl w:ilvl="0" w:tplc="7D6C36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E1B5A">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DC95B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F8EAA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2870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88985A">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62B0D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603A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D8A948">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1914A3"/>
    <w:multiLevelType w:val="hybridMultilevel"/>
    <w:tmpl w:val="E16A5500"/>
    <w:lvl w:ilvl="0" w:tplc="688E8EA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0C5F70">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748A78">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219D2">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865110">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F6432C">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2C51DE">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CA83F8">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B62532">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6313D9"/>
    <w:multiLevelType w:val="hybridMultilevel"/>
    <w:tmpl w:val="49A816E4"/>
    <w:lvl w:ilvl="0" w:tplc="9EAA86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A521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1C09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668F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298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624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D2EA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057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8DE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87410A6"/>
    <w:multiLevelType w:val="hybridMultilevel"/>
    <w:tmpl w:val="C5EC9A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99C0F33"/>
    <w:multiLevelType w:val="hybridMultilevel"/>
    <w:tmpl w:val="982A07B6"/>
    <w:lvl w:ilvl="0" w:tplc="0D1E88B4">
      <w:start w:val="3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B6EA188">
      <w:start w:val="1"/>
      <w:numFmt w:val="bullet"/>
      <w:lvlText w:val="•"/>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C0D2A">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A9EAC">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EFFD8">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2FD8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E8A04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E0856">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8C0C10">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D3B75FC"/>
    <w:multiLevelType w:val="hybridMultilevel"/>
    <w:tmpl w:val="12861690"/>
    <w:lvl w:ilvl="0" w:tplc="E86C0E2A">
      <w:start w:val="144"/>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CECD15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7AA44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CC682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7AB0D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AC057B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1BA864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3C6D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140C4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CE2491"/>
    <w:multiLevelType w:val="hybridMultilevel"/>
    <w:tmpl w:val="0C5CA246"/>
    <w:lvl w:ilvl="0" w:tplc="C6C8A00A">
      <w:start w:val="16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118D02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FB073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50C3A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7C00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A448B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1614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06442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4886A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5F44F2"/>
    <w:multiLevelType w:val="hybridMultilevel"/>
    <w:tmpl w:val="7B62D834"/>
    <w:lvl w:ilvl="0" w:tplc="BE9E2890">
      <w:start w:val="2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24C378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CC00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9014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AB3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26C6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760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6A0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620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AD5E94"/>
    <w:multiLevelType w:val="hybridMultilevel"/>
    <w:tmpl w:val="4A38A34C"/>
    <w:lvl w:ilvl="0" w:tplc="2764A37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4CEEE66">
      <w:start w:val="1"/>
      <w:numFmt w:val="lowerLetter"/>
      <w:lvlText w:val="%2"/>
      <w:lvlJc w:val="left"/>
      <w:pPr>
        <w:ind w:left="9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7DC3104">
      <w:start w:val="1"/>
      <w:numFmt w:val="lowerRoman"/>
      <w:lvlText w:val="%3"/>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D366288">
      <w:start w:val="1"/>
      <w:numFmt w:val="decimal"/>
      <w:lvlRestart w:val="0"/>
      <w:lvlText w:val="(%4)"/>
      <w:lvlJc w:val="left"/>
      <w:pPr>
        <w:ind w:left="23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070D362">
      <w:start w:val="1"/>
      <w:numFmt w:val="lowerLetter"/>
      <w:lvlText w:val="%5"/>
      <w:lvlJc w:val="left"/>
      <w:pPr>
        <w:ind w:left="27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20069C">
      <w:start w:val="1"/>
      <w:numFmt w:val="lowerRoman"/>
      <w:lvlText w:val="%6"/>
      <w:lvlJc w:val="left"/>
      <w:pPr>
        <w:ind w:left="34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B6685E4">
      <w:start w:val="1"/>
      <w:numFmt w:val="decimal"/>
      <w:lvlText w:val="%7"/>
      <w:lvlJc w:val="left"/>
      <w:pPr>
        <w:ind w:left="41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CCB87E">
      <w:start w:val="1"/>
      <w:numFmt w:val="lowerLetter"/>
      <w:lvlText w:val="%8"/>
      <w:lvlJc w:val="left"/>
      <w:pPr>
        <w:ind w:left="48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C2AC96">
      <w:start w:val="1"/>
      <w:numFmt w:val="lowerRoman"/>
      <w:lvlText w:val="%9"/>
      <w:lvlJc w:val="left"/>
      <w:pPr>
        <w:ind w:left="55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EE21C24"/>
    <w:multiLevelType w:val="hybridMultilevel"/>
    <w:tmpl w:val="8424E2A2"/>
    <w:lvl w:ilvl="0" w:tplc="E904EC36">
      <w:start w:val="12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B8A3A7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050F7F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9727FC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AC0A4C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AF4ADF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9B821B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9005B6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F660F5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09D757A"/>
    <w:multiLevelType w:val="hybridMultilevel"/>
    <w:tmpl w:val="2DAC7822"/>
    <w:lvl w:ilvl="0" w:tplc="42B237C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25EAF8E">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5DAF856">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F80EE4">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BE7496">
      <w:start w:val="1"/>
      <w:numFmt w:val="bullet"/>
      <w:lvlText w:val="o"/>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22EA068">
      <w:start w:val="1"/>
      <w:numFmt w:val="bullet"/>
      <w:lvlText w:val="▪"/>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3EC3D92">
      <w:start w:val="1"/>
      <w:numFmt w:val="bullet"/>
      <w:lvlText w:val="•"/>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0E4356E">
      <w:start w:val="1"/>
      <w:numFmt w:val="bullet"/>
      <w:lvlText w:val="o"/>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0AFE98">
      <w:start w:val="1"/>
      <w:numFmt w:val="bullet"/>
      <w:lvlText w:val="▪"/>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431826"/>
    <w:multiLevelType w:val="hybridMultilevel"/>
    <w:tmpl w:val="2BBE7454"/>
    <w:lvl w:ilvl="0" w:tplc="4288E05E">
      <w:start w:val="16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E4A7CB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CBD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CC15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4EF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E62B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E5C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C7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4E5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41A54C4"/>
    <w:multiLevelType w:val="hybridMultilevel"/>
    <w:tmpl w:val="39C49F88"/>
    <w:lvl w:ilvl="0" w:tplc="8DA09F4E">
      <w:start w:val="14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95C44E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B30C4C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D5E110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02351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436A3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D095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CA209A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A2277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BC33CC"/>
    <w:multiLevelType w:val="hybridMultilevel"/>
    <w:tmpl w:val="AD2ABC7E"/>
    <w:lvl w:ilvl="0" w:tplc="E5188E08">
      <w:start w:val="1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7FAB59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62DB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2087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84E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CE08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6A4C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ABA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4A07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6183CC5"/>
    <w:multiLevelType w:val="hybridMultilevel"/>
    <w:tmpl w:val="14F2DBCA"/>
    <w:lvl w:ilvl="0" w:tplc="638AFF00">
      <w:start w:val="5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DC4744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39CBF3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616F5F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4ACF3C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9C017B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186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6886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09AC3E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90F0870"/>
    <w:multiLevelType w:val="hybridMultilevel"/>
    <w:tmpl w:val="AFE6B058"/>
    <w:lvl w:ilvl="0" w:tplc="D3CCE874">
      <w:start w:val="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BE7AC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C6F7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CCFA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E22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BA4E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58C7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25C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21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B15340"/>
    <w:multiLevelType w:val="hybridMultilevel"/>
    <w:tmpl w:val="FDB21AE6"/>
    <w:lvl w:ilvl="0" w:tplc="71683C10">
      <w:start w:val="7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364D2E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9E0EE7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5EEE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5621C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F24CC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40E18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408CF9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B5C26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B053053"/>
    <w:multiLevelType w:val="hybridMultilevel"/>
    <w:tmpl w:val="27D0AEFA"/>
    <w:lvl w:ilvl="0" w:tplc="FFFFFFFF">
      <w:start w:val="1"/>
      <w:numFmt w:val="decimal"/>
      <w:lvlText w:val="%1."/>
      <w:lvlJc w:val="left"/>
      <w:pPr>
        <w:ind w:left="566"/>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E542A3F"/>
    <w:multiLevelType w:val="hybridMultilevel"/>
    <w:tmpl w:val="BE22903A"/>
    <w:lvl w:ilvl="0" w:tplc="994443FE">
      <w:start w:val="34"/>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E9A7ADA">
      <w:start w:val="1"/>
      <w:numFmt w:val="bullet"/>
      <w:lvlText w:val="•"/>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80BB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64A08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A3B92">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ADF7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AB3C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6854C">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0E3A9E">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41368846">
    <w:abstractNumId w:val="3"/>
  </w:num>
  <w:num w:numId="2" w16cid:durableId="460652993">
    <w:abstractNumId w:val="49"/>
  </w:num>
  <w:num w:numId="3" w16cid:durableId="1764303181">
    <w:abstractNumId w:val="22"/>
  </w:num>
  <w:num w:numId="4" w16cid:durableId="388768352">
    <w:abstractNumId w:val="47"/>
  </w:num>
  <w:num w:numId="5" w16cid:durableId="97213925">
    <w:abstractNumId w:val="24"/>
  </w:num>
  <w:num w:numId="6" w16cid:durableId="565066303">
    <w:abstractNumId w:val="7"/>
  </w:num>
  <w:num w:numId="7" w16cid:durableId="1382904391">
    <w:abstractNumId w:val="41"/>
  </w:num>
  <w:num w:numId="8" w16cid:durableId="1815638514">
    <w:abstractNumId w:val="38"/>
  </w:num>
  <w:num w:numId="9" w16cid:durableId="423039772">
    <w:abstractNumId w:val="52"/>
  </w:num>
  <w:num w:numId="10" w16cid:durableId="143014667">
    <w:abstractNumId w:val="16"/>
  </w:num>
  <w:num w:numId="11" w16cid:durableId="776752479">
    <w:abstractNumId w:val="9"/>
  </w:num>
  <w:num w:numId="12" w16cid:durableId="332728642">
    <w:abstractNumId w:val="1"/>
  </w:num>
  <w:num w:numId="13" w16cid:durableId="1483766927">
    <w:abstractNumId w:val="19"/>
  </w:num>
  <w:num w:numId="14" w16cid:durableId="266352118">
    <w:abstractNumId w:val="48"/>
  </w:num>
  <w:num w:numId="15" w16cid:durableId="503710669">
    <w:abstractNumId w:val="30"/>
  </w:num>
  <w:num w:numId="16" w16cid:durableId="1618174748">
    <w:abstractNumId w:val="2"/>
  </w:num>
  <w:num w:numId="17" w16cid:durableId="1090933108">
    <w:abstractNumId w:val="32"/>
  </w:num>
  <w:num w:numId="18" w16cid:durableId="1625847855">
    <w:abstractNumId w:val="25"/>
  </w:num>
  <w:num w:numId="19" w16cid:durableId="2071415408">
    <w:abstractNumId w:val="5"/>
  </w:num>
  <w:num w:numId="20" w16cid:durableId="1483083770">
    <w:abstractNumId w:val="50"/>
  </w:num>
  <w:num w:numId="21" w16cid:durableId="448087990">
    <w:abstractNumId w:val="18"/>
  </w:num>
  <w:num w:numId="22" w16cid:durableId="2061050663">
    <w:abstractNumId w:val="8"/>
  </w:num>
  <w:num w:numId="23" w16cid:durableId="1975017587">
    <w:abstractNumId w:val="29"/>
  </w:num>
  <w:num w:numId="24" w16cid:durableId="265773551">
    <w:abstractNumId w:val="27"/>
  </w:num>
  <w:num w:numId="25" w16cid:durableId="1722899862">
    <w:abstractNumId w:val="13"/>
  </w:num>
  <w:num w:numId="26" w16cid:durableId="523129785">
    <w:abstractNumId w:val="15"/>
  </w:num>
  <w:num w:numId="27" w16cid:durableId="1357191636">
    <w:abstractNumId w:val="10"/>
  </w:num>
  <w:num w:numId="28" w16cid:durableId="837501890">
    <w:abstractNumId w:val="43"/>
  </w:num>
  <w:num w:numId="29" w16cid:durableId="257913631">
    <w:abstractNumId w:val="12"/>
  </w:num>
  <w:num w:numId="30" w16cid:durableId="1239636881">
    <w:abstractNumId w:val="14"/>
  </w:num>
  <w:num w:numId="31" w16cid:durableId="277417514">
    <w:abstractNumId w:val="42"/>
  </w:num>
  <w:num w:numId="32" w16cid:durableId="560678478">
    <w:abstractNumId w:val="44"/>
  </w:num>
  <w:num w:numId="33" w16cid:durableId="861822387">
    <w:abstractNumId w:val="4"/>
  </w:num>
  <w:num w:numId="34" w16cid:durableId="1968967078">
    <w:abstractNumId w:val="33"/>
  </w:num>
  <w:num w:numId="35" w16cid:durableId="548419909">
    <w:abstractNumId w:val="39"/>
  </w:num>
  <w:num w:numId="36" w16cid:durableId="1787700173">
    <w:abstractNumId w:val="46"/>
  </w:num>
  <w:num w:numId="37" w16cid:durableId="1025716564">
    <w:abstractNumId w:val="20"/>
  </w:num>
  <w:num w:numId="38" w16cid:durableId="1232541478">
    <w:abstractNumId w:val="34"/>
  </w:num>
  <w:num w:numId="39" w16cid:durableId="1121067614">
    <w:abstractNumId w:val="36"/>
  </w:num>
  <w:num w:numId="40" w16cid:durableId="994256680">
    <w:abstractNumId w:val="40"/>
  </w:num>
  <w:num w:numId="41" w16cid:durableId="38751605">
    <w:abstractNumId w:val="45"/>
  </w:num>
  <w:num w:numId="42" w16cid:durableId="1797945969">
    <w:abstractNumId w:val="17"/>
  </w:num>
  <w:num w:numId="43" w16cid:durableId="1713116533">
    <w:abstractNumId w:val="0"/>
  </w:num>
  <w:num w:numId="44" w16cid:durableId="1691759221">
    <w:abstractNumId w:val="35"/>
  </w:num>
  <w:num w:numId="45" w16cid:durableId="1621185027">
    <w:abstractNumId w:val="11"/>
  </w:num>
  <w:num w:numId="46" w16cid:durableId="60299136">
    <w:abstractNumId w:val="21"/>
  </w:num>
  <w:num w:numId="47" w16cid:durableId="1997101382">
    <w:abstractNumId w:val="23"/>
  </w:num>
  <w:num w:numId="48" w16cid:durableId="651982033">
    <w:abstractNumId w:val="37"/>
  </w:num>
  <w:num w:numId="49" w16cid:durableId="665326163">
    <w:abstractNumId w:val="51"/>
  </w:num>
  <w:num w:numId="50" w16cid:durableId="1273320617">
    <w:abstractNumId w:val="28"/>
  </w:num>
  <w:num w:numId="51" w16cid:durableId="787969711">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7944320">
    <w:abstractNumId w:val="28"/>
  </w:num>
  <w:num w:numId="53" w16cid:durableId="1005784379">
    <w:abstractNumId w:val="26"/>
  </w:num>
  <w:num w:numId="54" w16cid:durableId="185414967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76"/>
    <w:rsid w:val="00000767"/>
    <w:rsid w:val="00002C2D"/>
    <w:rsid w:val="00003612"/>
    <w:rsid w:val="00003D12"/>
    <w:rsid w:val="00004166"/>
    <w:rsid w:val="000044E4"/>
    <w:rsid w:val="00004D81"/>
    <w:rsid w:val="00004E73"/>
    <w:rsid w:val="00005689"/>
    <w:rsid w:val="000059FD"/>
    <w:rsid w:val="0000627D"/>
    <w:rsid w:val="0000699F"/>
    <w:rsid w:val="00007375"/>
    <w:rsid w:val="000074D5"/>
    <w:rsid w:val="000106DB"/>
    <w:rsid w:val="000117F2"/>
    <w:rsid w:val="00012B08"/>
    <w:rsid w:val="00012B5E"/>
    <w:rsid w:val="000138EE"/>
    <w:rsid w:val="00013B1B"/>
    <w:rsid w:val="00013B75"/>
    <w:rsid w:val="00014231"/>
    <w:rsid w:val="0001426B"/>
    <w:rsid w:val="00014789"/>
    <w:rsid w:val="000149E8"/>
    <w:rsid w:val="00014BE3"/>
    <w:rsid w:val="000160F3"/>
    <w:rsid w:val="00016967"/>
    <w:rsid w:val="00016E01"/>
    <w:rsid w:val="00017C01"/>
    <w:rsid w:val="00020FE5"/>
    <w:rsid w:val="000215EE"/>
    <w:rsid w:val="00021A7E"/>
    <w:rsid w:val="00022CC4"/>
    <w:rsid w:val="00023420"/>
    <w:rsid w:val="00023E4D"/>
    <w:rsid w:val="00025967"/>
    <w:rsid w:val="000263E4"/>
    <w:rsid w:val="000272FD"/>
    <w:rsid w:val="00027CB2"/>
    <w:rsid w:val="00030367"/>
    <w:rsid w:val="0003080E"/>
    <w:rsid w:val="000320A2"/>
    <w:rsid w:val="00032D15"/>
    <w:rsid w:val="00033802"/>
    <w:rsid w:val="00033ABD"/>
    <w:rsid w:val="00033E64"/>
    <w:rsid w:val="0003514A"/>
    <w:rsid w:val="00035E19"/>
    <w:rsid w:val="00035F78"/>
    <w:rsid w:val="00041051"/>
    <w:rsid w:val="00041BAE"/>
    <w:rsid w:val="00042121"/>
    <w:rsid w:val="0004278E"/>
    <w:rsid w:val="000428DA"/>
    <w:rsid w:val="000429A5"/>
    <w:rsid w:val="0004367B"/>
    <w:rsid w:val="000442E1"/>
    <w:rsid w:val="0004578D"/>
    <w:rsid w:val="00046110"/>
    <w:rsid w:val="00047AA4"/>
    <w:rsid w:val="00047D07"/>
    <w:rsid w:val="000500FB"/>
    <w:rsid w:val="00050C03"/>
    <w:rsid w:val="00052172"/>
    <w:rsid w:val="000523F7"/>
    <w:rsid w:val="000527D9"/>
    <w:rsid w:val="0005390C"/>
    <w:rsid w:val="00054225"/>
    <w:rsid w:val="00055E98"/>
    <w:rsid w:val="00057045"/>
    <w:rsid w:val="00057410"/>
    <w:rsid w:val="000575D2"/>
    <w:rsid w:val="00057BEA"/>
    <w:rsid w:val="000611F8"/>
    <w:rsid w:val="0006189D"/>
    <w:rsid w:val="00061BB6"/>
    <w:rsid w:val="0006297F"/>
    <w:rsid w:val="0006337E"/>
    <w:rsid w:val="000637A5"/>
    <w:rsid w:val="00063A9B"/>
    <w:rsid w:val="00063E42"/>
    <w:rsid w:val="0006566A"/>
    <w:rsid w:val="00065900"/>
    <w:rsid w:val="0006614A"/>
    <w:rsid w:val="00067501"/>
    <w:rsid w:val="00067D3D"/>
    <w:rsid w:val="000709F9"/>
    <w:rsid w:val="0007126C"/>
    <w:rsid w:val="000716FE"/>
    <w:rsid w:val="000728D4"/>
    <w:rsid w:val="00072BB7"/>
    <w:rsid w:val="0007362D"/>
    <w:rsid w:val="00073B45"/>
    <w:rsid w:val="00074F67"/>
    <w:rsid w:val="000751D1"/>
    <w:rsid w:val="00075216"/>
    <w:rsid w:val="000760E1"/>
    <w:rsid w:val="00076249"/>
    <w:rsid w:val="0007706C"/>
    <w:rsid w:val="00077175"/>
    <w:rsid w:val="00077780"/>
    <w:rsid w:val="00077FBE"/>
    <w:rsid w:val="00081EC1"/>
    <w:rsid w:val="00081FA0"/>
    <w:rsid w:val="00082FCF"/>
    <w:rsid w:val="000831DB"/>
    <w:rsid w:val="00083A73"/>
    <w:rsid w:val="00083F0F"/>
    <w:rsid w:val="00084EE1"/>
    <w:rsid w:val="00084F55"/>
    <w:rsid w:val="00085264"/>
    <w:rsid w:val="000857C2"/>
    <w:rsid w:val="00086988"/>
    <w:rsid w:val="00087327"/>
    <w:rsid w:val="000903FF"/>
    <w:rsid w:val="000905E5"/>
    <w:rsid w:val="00091595"/>
    <w:rsid w:val="00091BB5"/>
    <w:rsid w:val="000929EA"/>
    <w:rsid w:val="00092D0F"/>
    <w:rsid w:val="00093FE4"/>
    <w:rsid w:val="0009438E"/>
    <w:rsid w:val="0009533D"/>
    <w:rsid w:val="000957C8"/>
    <w:rsid w:val="00095817"/>
    <w:rsid w:val="000976C9"/>
    <w:rsid w:val="00097798"/>
    <w:rsid w:val="00097FED"/>
    <w:rsid w:val="000A2048"/>
    <w:rsid w:val="000A2155"/>
    <w:rsid w:val="000A280B"/>
    <w:rsid w:val="000A2DA7"/>
    <w:rsid w:val="000A2EE5"/>
    <w:rsid w:val="000A561C"/>
    <w:rsid w:val="000A5742"/>
    <w:rsid w:val="000A5CC2"/>
    <w:rsid w:val="000A69C9"/>
    <w:rsid w:val="000A6E22"/>
    <w:rsid w:val="000B0994"/>
    <w:rsid w:val="000B0CC0"/>
    <w:rsid w:val="000B28FB"/>
    <w:rsid w:val="000B521D"/>
    <w:rsid w:val="000B53DC"/>
    <w:rsid w:val="000B63CB"/>
    <w:rsid w:val="000B6C3E"/>
    <w:rsid w:val="000B73BF"/>
    <w:rsid w:val="000C0F02"/>
    <w:rsid w:val="000C1785"/>
    <w:rsid w:val="000C2745"/>
    <w:rsid w:val="000C353E"/>
    <w:rsid w:val="000C46CF"/>
    <w:rsid w:val="000C4AB1"/>
    <w:rsid w:val="000C4E91"/>
    <w:rsid w:val="000C5E03"/>
    <w:rsid w:val="000C5F03"/>
    <w:rsid w:val="000C607F"/>
    <w:rsid w:val="000C70BE"/>
    <w:rsid w:val="000D024A"/>
    <w:rsid w:val="000D0D3A"/>
    <w:rsid w:val="000D0E96"/>
    <w:rsid w:val="000D113D"/>
    <w:rsid w:val="000D1804"/>
    <w:rsid w:val="000D38A9"/>
    <w:rsid w:val="000D39D6"/>
    <w:rsid w:val="000D419C"/>
    <w:rsid w:val="000D66C3"/>
    <w:rsid w:val="000D7149"/>
    <w:rsid w:val="000D7E04"/>
    <w:rsid w:val="000E0680"/>
    <w:rsid w:val="000E068E"/>
    <w:rsid w:val="000E0F1A"/>
    <w:rsid w:val="000E1E63"/>
    <w:rsid w:val="000E2DA7"/>
    <w:rsid w:val="000E3ACB"/>
    <w:rsid w:val="000E3C1C"/>
    <w:rsid w:val="000E4781"/>
    <w:rsid w:val="000E4923"/>
    <w:rsid w:val="000E4F23"/>
    <w:rsid w:val="000E5978"/>
    <w:rsid w:val="000E5C5E"/>
    <w:rsid w:val="000E6BE9"/>
    <w:rsid w:val="000F00F2"/>
    <w:rsid w:val="000F0328"/>
    <w:rsid w:val="000F08B6"/>
    <w:rsid w:val="000F0CEE"/>
    <w:rsid w:val="000F1EEE"/>
    <w:rsid w:val="000F367F"/>
    <w:rsid w:val="000F46BD"/>
    <w:rsid w:val="000F476A"/>
    <w:rsid w:val="000F627E"/>
    <w:rsid w:val="0010061D"/>
    <w:rsid w:val="00100FB6"/>
    <w:rsid w:val="0010274A"/>
    <w:rsid w:val="001040C0"/>
    <w:rsid w:val="00104688"/>
    <w:rsid w:val="001066F4"/>
    <w:rsid w:val="00107B0C"/>
    <w:rsid w:val="00107E6A"/>
    <w:rsid w:val="00110086"/>
    <w:rsid w:val="001104E6"/>
    <w:rsid w:val="001107C4"/>
    <w:rsid w:val="0011082A"/>
    <w:rsid w:val="00110F74"/>
    <w:rsid w:val="00111015"/>
    <w:rsid w:val="00112322"/>
    <w:rsid w:val="001123A1"/>
    <w:rsid w:val="0011283B"/>
    <w:rsid w:val="00113B2B"/>
    <w:rsid w:val="0011406A"/>
    <w:rsid w:val="00114E7B"/>
    <w:rsid w:val="00114EE8"/>
    <w:rsid w:val="00115126"/>
    <w:rsid w:val="00116BF1"/>
    <w:rsid w:val="001171B7"/>
    <w:rsid w:val="00117376"/>
    <w:rsid w:val="00120732"/>
    <w:rsid w:val="0012133A"/>
    <w:rsid w:val="0012143A"/>
    <w:rsid w:val="001243BE"/>
    <w:rsid w:val="00125909"/>
    <w:rsid w:val="001270B6"/>
    <w:rsid w:val="00130435"/>
    <w:rsid w:val="00133224"/>
    <w:rsid w:val="00133396"/>
    <w:rsid w:val="00133748"/>
    <w:rsid w:val="001348F3"/>
    <w:rsid w:val="00134D7C"/>
    <w:rsid w:val="001365E8"/>
    <w:rsid w:val="00137AE2"/>
    <w:rsid w:val="00137BCD"/>
    <w:rsid w:val="00140353"/>
    <w:rsid w:val="0014159E"/>
    <w:rsid w:val="0014183C"/>
    <w:rsid w:val="00142930"/>
    <w:rsid w:val="00142974"/>
    <w:rsid w:val="00142A5B"/>
    <w:rsid w:val="00143BFB"/>
    <w:rsid w:val="00144FA0"/>
    <w:rsid w:val="00145AE9"/>
    <w:rsid w:val="00145D51"/>
    <w:rsid w:val="00145F8F"/>
    <w:rsid w:val="00147666"/>
    <w:rsid w:val="00147A54"/>
    <w:rsid w:val="00150078"/>
    <w:rsid w:val="00150DED"/>
    <w:rsid w:val="00151DBA"/>
    <w:rsid w:val="00153042"/>
    <w:rsid w:val="00153D92"/>
    <w:rsid w:val="00154686"/>
    <w:rsid w:val="0015487B"/>
    <w:rsid w:val="001556F7"/>
    <w:rsid w:val="0015571D"/>
    <w:rsid w:val="001568FE"/>
    <w:rsid w:val="001575CB"/>
    <w:rsid w:val="001579E6"/>
    <w:rsid w:val="001579EA"/>
    <w:rsid w:val="00157CCA"/>
    <w:rsid w:val="00162201"/>
    <w:rsid w:val="001623A4"/>
    <w:rsid w:val="001625C8"/>
    <w:rsid w:val="00163D4E"/>
    <w:rsid w:val="00164181"/>
    <w:rsid w:val="00164816"/>
    <w:rsid w:val="00166829"/>
    <w:rsid w:val="00166C01"/>
    <w:rsid w:val="0016759D"/>
    <w:rsid w:val="001677C3"/>
    <w:rsid w:val="00170D35"/>
    <w:rsid w:val="001712D2"/>
    <w:rsid w:val="0017242B"/>
    <w:rsid w:val="001727A1"/>
    <w:rsid w:val="00172996"/>
    <w:rsid w:val="00173A37"/>
    <w:rsid w:val="00173DC5"/>
    <w:rsid w:val="0017420F"/>
    <w:rsid w:val="0017436D"/>
    <w:rsid w:val="00180BC7"/>
    <w:rsid w:val="00180DA6"/>
    <w:rsid w:val="001816D3"/>
    <w:rsid w:val="00182767"/>
    <w:rsid w:val="001828C9"/>
    <w:rsid w:val="00182AC9"/>
    <w:rsid w:val="00182B49"/>
    <w:rsid w:val="0018355A"/>
    <w:rsid w:val="00187BA0"/>
    <w:rsid w:val="001918A1"/>
    <w:rsid w:val="00191FF6"/>
    <w:rsid w:val="00192A50"/>
    <w:rsid w:val="0019349B"/>
    <w:rsid w:val="0019361C"/>
    <w:rsid w:val="00194BEC"/>
    <w:rsid w:val="0019558C"/>
    <w:rsid w:val="00195B9F"/>
    <w:rsid w:val="00197C3E"/>
    <w:rsid w:val="001A4921"/>
    <w:rsid w:val="001A641D"/>
    <w:rsid w:val="001B0CCF"/>
    <w:rsid w:val="001B15EF"/>
    <w:rsid w:val="001B26B2"/>
    <w:rsid w:val="001B2DE7"/>
    <w:rsid w:val="001B3F1E"/>
    <w:rsid w:val="001B4A55"/>
    <w:rsid w:val="001B531A"/>
    <w:rsid w:val="001B6066"/>
    <w:rsid w:val="001B6EF3"/>
    <w:rsid w:val="001B72F6"/>
    <w:rsid w:val="001B7AE6"/>
    <w:rsid w:val="001C0128"/>
    <w:rsid w:val="001C2417"/>
    <w:rsid w:val="001C2C6A"/>
    <w:rsid w:val="001C3838"/>
    <w:rsid w:val="001C3B8E"/>
    <w:rsid w:val="001C428F"/>
    <w:rsid w:val="001C6047"/>
    <w:rsid w:val="001D0D10"/>
    <w:rsid w:val="001D2FE7"/>
    <w:rsid w:val="001D33C0"/>
    <w:rsid w:val="001D3E06"/>
    <w:rsid w:val="001D426A"/>
    <w:rsid w:val="001D4688"/>
    <w:rsid w:val="001D625D"/>
    <w:rsid w:val="001D6D8C"/>
    <w:rsid w:val="001E0F73"/>
    <w:rsid w:val="001E1331"/>
    <w:rsid w:val="001E1BDB"/>
    <w:rsid w:val="001E2CE7"/>
    <w:rsid w:val="001E2EF3"/>
    <w:rsid w:val="001E2F88"/>
    <w:rsid w:val="001E379E"/>
    <w:rsid w:val="001E5B5B"/>
    <w:rsid w:val="001E5C82"/>
    <w:rsid w:val="001E63F4"/>
    <w:rsid w:val="001E7A38"/>
    <w:rsid w:val="001F1E27"/>
    <w:rsid w:val="001F3533"/>
    <w:rsid w:val="001F4F5D"/>
    <w:rsid w:val="001F5FE5"/>
    <w:rsid w:val="00203767"/>
    <w:rsid w:val="00205483"/>
    <w:rsid w:val="002059C0"/>
    <w:rsid w:val="00205E34"/>
    <w:rsid w:val="00207C76"/>
    <w:rsid w:val="00207CB4"/>
    <w:rsid w:val="0021078A"/>
    <w:rsid w:val="00211315"/>
    <w:rsid w:val="00211D14"/>
    <w:rsid w:val="0021352A"/>
    <w:rsid w:val="0021409D"/>
    <w:rsid w:val="00215B50"/>
    <w:rsid w:val="00215BD3"/>
    <w:rsid w:val="0021639E"/>
    <w:rsid w:val="002219C0"/>
    <w:rsid w:val="0022219E"/>
    <w:rsid w:val="002228CB"/>
    <w:rsid w:val="00222B2A"/>
    <w:rsid w:val="00223413"/>
    <w:rsid w:val="002241F3"/>
    <w:rsid w:val="00224EEA"/>
    <w:rsid w:val="0022633E"/>
    <w:rsid w:val="00226AA9"/>
    <w:rsid w:val="00226CF8"/>
    <w:rsid w:val="00227196"/>
    <w:rsid w:val="002279DC"/>
    <w:rsid w:val="002302EB"/>
    <w:rsid w:val="00230875"/>
    <w:rsid w:val="0023133A"/>
    <w:rsid w:val="0023195F"/>
    <w:rsid w:val="00231C18"/>
    <w:rsid w:val="00233FC1"/>
    <w:rsid w:val="00234F0D"/>
    <w:rsid w:val="002371ED"/>
    <w:rsid w:val="0023755D"/>
    <w:rsid w:val="00240008"/>
    <w:rsid w:val="002410D0"/>
    <w:rsid w:val="0024126E"/>
    <w:rsid w:val="002434D0"/>
    <w:rsid w:val="002434E7"/>
    <w:rsid w:val="00245D0B"/>
    <w:rsid w:val="00246036"/>
    <w:rsid w:val="00246A1F"/>
    <w:rsid w:val="002505B2"/>
    <w:rsid w:val="00250698"/>
    <w:rsid w:val="00250DA5"/>
    <w:rsid w:val="00251088"/>
    <w:rsid w:val="00252EB3"/>
    <w:rsid w:val="00253788"/>
    <w:rsid w:val="00253ED3"/>
    <w:rsid w:val="00254DCE"/>
    <w:rsid w:val="00257A68"/>
    <w:rsid w:val="00260EE3"/>
    <w:rsid w:val="00261E57"/>
    <w:rsid w:val="00263A37"/>
    <w:rsid w:val="00264728"/>
    <w:rsid w:val="00264DB7"/>
    <w:rsid w:val="00265357"/>
    <w:rsid w:val="00265821"/>
    <w:rsid w:val="00267597"/>
    <w:rsid w:val="00267708"/>
    <w:rsid w:val="00267D27"/>
    <w:rsid w:val="00271197"/>
    <w:rsid w:val="0027206F"/>
    <w:rsid w:val="00272B1E"/>
    <w:rsid w:val="00273B77"/>
    <w:rsid w:val="00274617"/>
    <w:rsid w:val="00275FFB"/>
    <w:rsid w:val="00277C12"/>
    <w:rsid w:val="00280409"/>
    <w:rsid w:val="0028347F"/>
    <w:rsid w:val="00283D0A"/>
    <w:rsid w:val="00284008"/>
    <w:rsid w:val="002841EF"/>
    <w:rsid w:val="00285E56"/>
    <w:rsid w:val="00287260"/>
    <w:rsid w:val="00287D27"/>
    <w:rsid w:val="00293325"/>
    <w:rsid w:val="00293794"/>
    <w:rsid w:val="0029428C"/>
    <w:rsid w:val="00294DEA"/>
    <w:rsid w:val="002951DF"/>
    <w:rsid w:val="00295F79"/>
    <w:rsid w:val="002A14F7"/>
    <w:rsid w:val="002A1BF5"/>
    <w:rsid w:val="002A2681"/>
    <w:rsid w:val="002A2FEF"/>
    <w:rsid w:val="002A3653"/>
    <w:rsid w:val="002A387E"/>
    <w:rsid w:val="002A3C56"/>
    <w:rsid w:val="002A60F0"/>
    <w:rsid w:val="002A711C"/>
    <w:rsid w:val="002A7668"/>
    <w:rsid w:val="002A77BF"/>
    <w:rsid w:val="002A77E4"/>
    <w:rsid w:val="002A7BCC"/>
    <w:rsid w:val="002B298D"/>
    <w:rsid w:val="002B3376"/>
    <w:rsid w:val="002B394E"/>
    <w:rsid w:val="002B3B35"/>
    <w:rsid w:val="002B5A0A"/>
    <w:rsid w:val="002B69AD"/>
    <w:rsid w:val="002B69D5"/>
    <w:rsid w:val="002C031C"/>
    <w:rsid w:val="002C063D"/>
    <w:rsid w:val="002C0F69"/>
    <w:rsid w:val="002C188F"/>
    <w:rsid w:val="002C1CE2"/>
    <w:rsid w:val="002C1E17"/>
    <w:rsid w:val="002C244D"/>
    <w:rsid w:val="002C24CB"/>
    <w:rsid w:val="002C24EF"/>
    <w:rsid w:val="002C4CE7"/>
    <w:rsid w:val="002C644D"/>
    <w:rsid w:val="002C75D6"/>
    <w:rsid w:val="002C795A"/>
    <w:rsid w:val="002D1B0B"/>
    <w:rsid w:val="002D3B02"/>
    <w:rsid w:val="002D4F5E"/>
    <w:rsid w:val="002D503F"/>
    <w:rsid w:val="002D737F"/>
    <w:rsid w:val="002E008F"/>
    <w:rsid w:val="002E00D2"/>
    <w:rsid w:val="002E1047"/>
    <w:rsid w:val="002E15BD"/>
    <w:rsid w:val="002E18CD"/>
    <w:rsid w:val="002E1BBF"/>
    <w:rsid w:val="002E376C"/>
    <w:rsid w:val="002E38F3"/>
    <w:rsid w:val="002E3A59"/>
    <w:rsid w:val="002E4083"/>
    <w:rsid w:val="002E43D5"/>
    <w:rsid w:val="002E483B"/>
    <w:rsid w:val="002E5A00"/>
    <w:rsid w:val="002E7169"/>
    <w:rsid w:val="002E7B79"/>
    <w:rsid w:val="002F07F9"/>
    <w:rsid w:val="002F0E86"/>
    <w:rsid w:val="002F1DA7"/>
    <w:rsid w:val="002F22B9"/>
    <w:rsid w:val="002F3037"/>
    <w:rsid w:val="002F38EF"/>
    <w:rsid w:val="002F4257"/>
    <w:rsid w:val="002F5611"/>
    <w:rsid w:val="002F6B6B"/>
    <w:rsid w:val="002F7616"/>
    <w:rsid w:val="003005FE"/>
    <w:rsid w:val="00300A36"/>
    <w:rsid w:val="00300C06"/>
    <w:rsid w:val="00300E06"/>
    <w:rsid w:val="00300EFA"/>
    <w:rsid w:val="00301655"/>
    <w:rsid w:val="00301EFF"/>
    <w:rsid w:val="003032CE"/>
    <w:rsid w:val="00303411"/>
    <w:rsid w:val="00304ADA"/>
    <w:rsid w:val="00305B24"/>
    <w:rsid w:val="00305E91"/>
    <w:rsid w:val="00306333"/>
    <w:rsid w:val="00306514"/>
    <w:rsid w:val="00306982"/>
    <w:rsid w:val="00310057"/>
    <w:rsid w:val="003104FF"/>
    <w:rsid w:val="003112C2"/>
    <w:rsid w:val="00312D3B"/>
    <w:rsid w:val="003136AE"/>
    <w:rsid w:val="003139FB"/>
    <w:rsid w:val="003150D6"/>
    <w:rsid w:val="00316BBA"/>
    <w:rsid w:val="003176E6"/>
    <w:rsid w:val="00317DB9"/>
    <w:rsid w:val="0032007E"/>
    <w:rsid w:val="00321EC4"/>
    <w:rsid w:val="00323013"/>
    <w:rsid w:val="00323CBC"/>
    <w:rsid w:val="003240FD"/>
    <w:rsid w:val="00324FEB"/>
    <w:rsid w:val="00325433"/>
    <w:rsid w:val="003260D1"/>
    <w:rsid w:val="00326244"/>
    <w:rsid w:val="00326D30"/>
    <w:rsid w:val="00326F53"/>
    <w:rsid w:val="00327823"/>
    <w:rsid w:val="00327860"/>
    <w:rsid w:val="0032790D"/>
    <w:rsid w:val="0033048D"/>
    <w:rsid w:val="003307C9"/>
    <w:rsid w:val="0033132C"/>
    <w:rsid w:val="00332570"/>
    <w:rsid w:val="003340D8"/>
    <w:rsid w:val="0033435D"/>
    <w:rsid w:val="00335FFE"/>
    <w:rsid w:val="00336FDF"/>
    <w:rsid w:val="00337319"/>
    <w:rsid w:val="0033763B"/>
    <w:rsid w:val="0034053E"/>
    <w:rsid w:val="00341DE0"/>
    <w:rsid w:val="00341E6C"/>
    <w:rsid w:val="003423F6"/>
    <w:rsid w:val="0034352E"/>
    <w:rsid w:val="00343977"/>
    <w:rsid w:val="00343C28"/>
    <w:rsid w:val="0034452C"/>
    <w:rsid w:val="00344635"/>
    <w:rsid w:val="0034533B"/>
    <w:rsid w:val="0034550B"/>
    <w:rsid w:val="003461D4"/>
    <w:rsid w:val="00346256"/>
    <w:rsid w:val="003466AB"/>
    <w:rsid w:val="00350238"/>
    <w:rsid w:val="00351463"/>
    <w:rsid w:val="00351F5A"/>
    <w:rsid w:val="003539FE"/>
    <w:rsid w:val="00353DBD"/>
    <w:rsid w:val="00354761"/>
    <w:rsid w:val="0035605C"/>
    <w:rsid w:val="00356BD9"/>
    <w:rsid w:val="0035730D"/>
    <w:rsid w:val="00357498"/>
    <w:rsid w:val="00357D45"/>
    <w:rsid w:val="0036098F"/>
    <w:rsid w:val="00360B63"/>
    <w:rsid w:val="00360BEE"/>
    <w:rsid w:val="003610C5"/>
    <w:rsid w:val="00361BD7"/>
    <w:rsid w:val="003638BD"/>
    <w:rsid w:val="00363D47"/>
    <w:rsid w:val="00364090"/>
    <w:rsid w:val="003641F8"/>
    <w:rsid w:val="00367154"/>
    <w:rsid w:val="003701E9"/>
    <w:rsid w:val="00370CAE"/>
    <w:rsid w:val="003715AB"/>
    <w:rsid w:val="003739B0"/>
    <w:rsid w:val="003739CD"/>
    <w:rsid w:val="00373AE7"/>
    <w:rsid w:val="00374232"/>
    <w:rsid w:val="00375EA4"/>
    <w:rsid w:val="00380189"/>
    <w:rsid w:val="00380843"/>
    <w:rsid w:val="00381700"/>
    <w:rsid w:val="00381CC9"/>
    <w:rsid w:val="00381D70"/>
    <w:rsid w:val="00383444"/>
    <w:rsid w:val="00383F3B"/>
    <w:rsid w:val="00385265"/>
    <w:rsid w:val="00386374"/>
    <w:rsid w:val="00386557"/>
    <w:rsid w:val="00386C1F"/>
    <w:rsid w:val="003910ED"/>
    <w:rsid w:val="003913A1"/>
    <w:rsid w:val="00391C7E"/>
    <w:rsid w:val="00392D35"/>
    <w:rsid w:val="00395F59"/>
    <w:rsid w:val="003975A3"/>
    <w:rsid w:val="00397703"/>
    <w:rsid w:val="0039787A"/>
    <w:rsid w:val="003978BF"/>
    <w:rsid w:val="003A1693"/>
    <w:rsid w:val="003A178A"/>
    <w:rsid w:val="003A2622"/>
    <w:rsid w:val="003A2E69"/>
    <w:rsid w:val="003A4E59"/>
    <w:rsid w:val="003A72B3"/>
    <w:rsid w:val="003A7435"/>
    <w:rsid w:val="003A7AA5"/>
    <w:rsid w:val="003A7EB9"/>
    <w:rsid w:val="003B0A56"/>
    <w:rsid w:val="003B354A"/>
    <w:rsid w:val="003B3582"/>
    <w:rsid w:val="003B3F22"/>
    <w:rsid w:val="003B49D1"/>
    <w:rsid w:val="003B4FDD"/>
    <w:rsid w:val="003B5112"/>
    <w:rsid w:val="003B60A9"/>
    <w:rsid w:val="003B73F2"/>
    <w:rsid w:val="003C016D"/>
    <w:rsid w:val="003C09CF"/>
    <w:rsid w:val="003C12F9"/>
    <w:rsid w:val="003C4172"/>
    <w:rsid w:val="003C5212"/>
    <w:rsid w:val="003C55BB"/>
    <w:rsid w:val="003C5CC4"/>
    <w:rsid w:val="003C735D"/>
    <w:rsid w:val="003D02B3"/>
    <w:rsid w:val="003D0E43"/>
    <w:rsid w:val="003D14A4"/>
    <w:rsid w:val="003D1571"/>
    <w:rsid w:val="003D25EA"/>
    <w:rsid w:val="003D3D27"/>
    <w:rsid w:val="003D52BF"/>
    <w:rsid w:val="003D57F4"/>
    <w:rsid w:val="003D6569"/>
    <w:rsid w:val="003D66B5"/>
    <w:rsid w:val="003D73DA"/>
    <w:rsid w:val="003D7B9B"/>
    <w:rsid w:val="003E05E1"/>
    <w:rsid w:val="003E1309"/>
    <w:rsid w:val="003E2503"/>
    <w:rsid w:val="003E2863"/>
    <w:rsid w:val="003E45B7"/>
    <w:rsid w:val="003E47B7"/>
    <w:rsid w:val="003E51AA"/>
    <w:rsid w:val="003E5E09"/>
    <w:rsid w:val="003E60DD"/>
    <w:rsid w:val="003E648B"/>
    <w:rsid w:val="003E6F5C"/>
    <w:rsid w:val="003E70DB"/>
    <w:rsid w:val="003E719B"/>
    <w:rsid w:val="003F12A1"/>
    <w:rsid w:val="003F190E"/>
    <w:rsid w:val="003F3706"/>
    <w:rsid w:val="003F3F57"/>
    <w:rsid w:val="003F4F2D"/>
    <w:rsid w:val="003F5B93"/>
    <w:rsid w:val="003F5D7D"/>
    <w:rsid w:val="003F6CB5"/>
    <w:rsid w:val="0040000A"/>
    <w:rsid w:val="00400E2D"/>
    <w:rsid w:val="004016F7"/>
    <w:rsid w:val="004018B9"/>
    <w:rsid w:val="00402044"/>
    <w:rsid w:val="00403998"/>
    <w:rsid w:val="00403FD3"/>
    <w:rsid w:val="0040438F"/>
    <w:rsid w:val="00404FA5"/>
    <w:rsid w:val="0041144E"/>
    <w:rsid w:val="004125C0"/>
    <w:rsid w:val="00413228"/>
    <w:rsid w:val="004139E0"/>
    <w:rsid w:val="00415BE2"/>
    <w:rsid w:val="00420CD8"/>
    <w:rsid w:val="004211B2"/>
    <w:rsid w:val="004215B2"/>
    <w:rsid w:val="0042196F"/>
    <w:rsid w:val="004229AD"/>
    <w:rsid w:val="00424CAC"/>
    <w:rsid w:val="00425BA6"/>
    <w:rsid w:val="00430B21"/>
    <w:rsid w:val="00430D80"/>
    <w:rsid w:val="00430D9C"/>
    <w:rsid w:val="00431A33"/>
    <w:rsid w:val="00431C98"/>
    <w:rsid w:val="00432C2F"/>
    <w:rsid w:val="00433458"/>
    <w:rsid w:val="004336D5"/>
    <w:rsid w:val="0043399F"/>
    <w:rsid w:val="0043485A"/>
    <w:rsid w:val="0043518F"/>
    <w:rsid w:val="004360DD"/>
    <w:rsid w:val="00437148"/>
    <w:rsid w:val="0043729D"/>
    <w:rsid w:val="00440200"/>
    <w:rsid w:val="004404A2"/>
    <w:rsid w:val="004425FF"/>
    <w:rsid w:val="00445835"/>
    <w:rsid w:val="00446568"/>
    <w:rsid w:val="00447415"/>
    <w:rsid w:val="004506AE"/>
    <w:rsid w:val="00450961"/>
    <w:rsid w:val="0045121B"/>
    <w:rsid w:val="004523E0"/>
    <w:rsid w:val="00454104"/>
    <w:rsid w:val="0045413A"/>
    <w:rsid w:val="004547E7"/>
    <w:rsid w:val="00454928"/>
    <w:rsid w:val="00455163"/>
    <w:rsid w:val="004552EB"/>
    <w:rsid w:val="0045537E"/>
    <w:rsid w:val="004556E2"/>
    <w:rsid w:val="004557A0"/>
    <w:rsid w:val="00456B2D"/>
    <w:rsid w:val="00461842"/>
    <w:rsid w:val="00462262"/>
    <w:rsid w:val="0046246D"/>
    <w:rsid w:val="00462485"/>
    <w:rsid w:val="00462DF0"/>
    <w:rsid w:val="00465072"/>
    <w:rsid w:val="00465AE6"/>
    <w:rsid w:val="004702EA"/>
    <w:rsid w:val="004711EA"/>
    <w:rsid w:val="004743F0"/>
    <w:rsid w:val="00475EEE"/>
    <w:rsid w:val="004762D7"/>
    <w:rsid w:val="00477B7D"/>
    <w:rsid w:val="00480A69"/>
    <w:rsid w:val="00480E3A"/>
    <w:rsid w:val="004812A4"/>
    <w:rsid w:val="004817B1"/>
    <w:rsid w:val="00481EFD"/>
    <w:rsid w:val="0048344E"/>
    <w:rsid w:val="0048395E"/>
    <w:rsid w:val="0048407E"/>
    <w:rsid w:val="0048460A"/>
    <w:rsid w:val="00487F0A"/>
    <w:rsid w:val="00493087"/>
    <w:rsid w:val="004934E5"/>
    <w:rsid w:val="00493B27"/>
    <w:rsid w:val="004948FF"/>
    <w:rsid w:val="00496267"/>
    <w:rsid w:val="00497CDE"/>
    <w:rsid w:val="004A1DB5"/>
    <w:rsid w:val="004A1DF8"/>
    <w:rsid w:val="004A3061"/>
    <w:rsid w:val="004A3AF5"/>
    <w:rsid w:val="004A50CE"/>
    <w:rsid w:val="004A6045"/>
    <w:rsid w:val="004A685B"/>
    <w:rsid w:val="004B03CD"/>
    <w:rsid w:val="004B12CD"/>
    <w:rsid w:val="004B2813"/>
    <w:rsid w:val="004B2CFF"/>
    <w:rsid w:val="004B3C11"/>
    <w:rsid w:val="004B45E3"/>
    <w:rsid w:val="004B4794"/>
    <w:rsid w:val="004B59E7"/>
    <w:rsid w:val="004B5ADE"/>
    <w:rsid w:val="004B5C67"/>
    <w:rsid w:val="004B6F4C"/>
    <w:rsid w:val="004C0228"/>
    <w:rsid w:val="004C1EA8"/>
    <w:rsid w:val="004C28EC"/>
    <w:rsid w:val="004C491F"/>
    <w:rsid w:val="004C61BC"/>
    <w:rsid w:val="004C752B"/>
    <w:rsid w:val="004D1705"/>
    <w:rsid w:val="004D3A07"/>
    <w:rsid w:val="004D423B"/>
    <w:rsid w:val="004D48AD"/>
    <w:rsid w:val="004D54EC"/>
    <w:rsid w:val="004D793D"/>
    <w:rsid w:val="004E0306"/>
    <w:rsid w:val="004E0B88"/>
    <w:rsid w:val="004E31A5"/>
    <w:rsid w:val="004E5EFE"/>
    <w:rsid w:val="004E617A"/>
    <w:rsid w:val="004E6A5E"/>
    <w:rsid w:val="004E7A5B"/>
    <w:rsid w:val="004E7AE9"/>
    <w:rsid w:val="004F106D"/>
    <w:rsid w:val="004F1439"/>
    <w:rsid w:val="004F1F04"/>
    <w:rsid w:val="004F201A"/>
    <w:rsid w:val="004F4258"/>
    <w:rsid w:val="004F42B2"/>
    <w:rsid w:val="004F4D4E"/>
    <w:rsid w:val="004F5EEC"/>
    <w:rsid w:val="004F7495"/>
    <w:rsid w:val="005016F6"/>
    <w:rsid w:val="00501DC6"/>
    <w:rsid w:val="00502E67"/>
    <w:rsid w:val="00503048"/>
    <w:rsid w:val="00504E4A"/>
    <w:rsid w:val="00507229"/>
    <w:rsid w:val="00507DD5"/>
    <w:rsid w:val="005104B7"/>
    <w:rsid w:val="00510D42"/>
    <w:rsid w:val="00511BF9"/>
    <w:rsid w:val="00511F81"/>
    <w:rsid w:val="005128BD"/>
    <w:rsid w:val="00513B67"/>
    <w:rsid w:val="00513B98"/>
    <w:rsid w:val="00515D5D"/>
    <w:rsid w:val="00515FC5"/>
    <w:rsid w:val="0051655E"/>
    <w:rsid w:val="00517C91"/>
    <w:rsid w:val="0052098A"/>
    <w:rsid w:val="00520D91"/>
    <w:rsid w:val="0052130C"/>
    <w:rsid w:val="00521372"/>
    <w:rsid w:val="005218D8"/>
    <w:rsid w:val="00521FB7"/>
    <w:rsid w:val="0052263A"/>
    <w:rsid w:val="00523930"/>
    <w:rsid w:val="00525F2D"/>
    <w:rsid w:val="00526587"/>
    <w:rsid w:val="00526616"/>
    <w:rsid w:val="00527546"/>
    <w:rsid w:val="00527572"/>
    <w:rsid w:val="00527686"/>
    <w:rsid w:val="00530290"/>
    <w:rsid w:val="00530398"/>
    <w:rsid w:val="00530494"/>
    <w:rsid w:val="00530E9D"/>
    <w:rsid w:val="0053115F"/>
    <w:rsid w:val="00531886"/>
    <w:rsid w:val="0053197C"/>
    <w:rsid w:val="00532275"/>
    <w:rsid w:val="0053388A"/>
    <w:rsid w:val="0053495E"/>
    <w:rsid w:val="00534AE6"/>
    <w:rsid w:val="00535FA9"/>
    <w:rsid w:val="0053690B"/>
    <w:rsid w:val="00536CDC"/>
    <w:rsid w:val="005375DB"/>
    <w:rsid w:val="005407A6"/>
    <w:rsid w:val="005417F5"/>
    <w:rsid w:val="00541DAC"/>
    <w:rsid w:val="0054290C"/>
    <w:rsid w:val="005429B8"/>
    <w:rsid w:val="00543479"/>
    <w:rsid w:val="005436E2"/>
    <w:rsid w:val="00544CC5"/>
    <w:rsid w:val="00544E43"/>
    <w:rsid w:val="005455DB"/>
    <w:rsid w:val="00545FD9"/>
    <w:rsid w:val="00546DE2"/>
    <w:rsid w:val="00547333"/>
    <w:rsid w:val="005476E3"/>
    <w:rsid w:val="00550344"/>
    <w:rsid w:val="00550FE7"/>
    <w:rsid w:val="00551313"/>
    <w:rsid w:val="0055238B"/>
    <w:rsid w:val="005523C6"/>
    <w:rsid w:val="0055414C"/>
    <w:rsid w:val="005562F3"/>
    <w:rsid w:val="005565E5"/>
    <w:rsid w:val="0055678E"/>
    <w:rsid w:val="00561D1E"/>
    <w:rsid w:val="0056225B"/>
    <w:rsid w:val="00563EBC"/>
    <w:rsid w:val="00565649"/>
    <w:rsid w:val="00565FCD"/>
    <w:rsid w:val="00566179"/>
    <w:rsid w:val="00570186"/>
    <w:rsid w:val="00570440"/>
    <w:rsid w:val="005714BC"/>
    <w:rsid w:val="00571594"/>
    <w:rsid w:val="005715AC"/>
    <w:rsid w:val="00571E0D"/>
    <w:rsid w:val="00572752"/>
    <w:rsid w:val="00572A5D"/>
    <w:rsid w:val="00572AF5"/>
    <w:rsid w:val="0057546B"/>
    <w:rsid w:val="00575623"/>
    <w:rsid w:val="00576035"/>
    <w:rsid w:val="00580528"/>
    <w:rsid w:val="00581049"/>
    <w:rsid w:val="0058221D"/>
    <w:rsid w:val="005829E8"/>
    <w:rsid w:val="00582DBE"/>
    <w:rsid w:val="00582E60"/>
    <w:rsid w:val="00583077"/>
    <w:rsid w:val="005834BA"/>
    <w:rsid w:val="00583BE0"/>
    <w:rsid w:val="00583CCF"/>
    <w:rsid w:val="00585365"/>
    <w:rsid w:val="005858ED"/>
    <w:rsid w:val="005861AA"/>
    <w:rsid w:val="00586BBA"/>
    <w:rsid w:val="00587DF5"/>
    <w:rsid w:val="00587FDE"/>
    <w:rsid w:val="0059077F"/>
    <w:rsid w:val="00590A3F"/>
    <w:rsid w:val="005922FE"/>
    <w:rsid w:val="00593C64"/>
    <w:rsid w:val="00595ED4"/>
    <w:rsid w:val="0059745F"/>
    <w:rsid w:val="005A0146"/>
    <w:rsid w:val="005A0610"/>
    <w:rsid w:val="005A097F"/>
    <w:rsid w:val="005A0A3E"/>
    <w:rsid w:val="005A1191"/>
    <w:rsid w:val="005A337C"/>
    <w:rsid w:val="005A3A53"/>
    <w:rsid w:val="005A43AB"/>
    <w:rsid w:val="005A4499"/>
    <w:rsid w:val="005A46F6"/>
    <w:rsid w:val="005A55A0"/>
    <w:rsid w:val="005A6AE5"/>
    <w:rsid w:val="005A774F"/>
    <w:rsid w:val="005B024E"/>
    <w:rsid w:val="005B0BB0"/>
    <w:rsid w:val="005B327D"/>
    <w:rsid w:val="005B48FF"/>
    <w:rsid w:val="005B510E"/>
    <w:rsid w:val="005B532D"/>
    <w:rsid w:val="005B6498"/>
    <w:rsid w:val="005B778A"/>
    <w:rsid w:val="005B78AF"/>
    <w:rsid w:val="005B7FD4"/>
    <w:rsid w:val="005C08AF"/>
    <w:rsid w:val="005C13B0"/>
    <w:rsid w:val="005C1946"/>
    <w:rsid w:val="005C5841"/>
    <w:rsid w:val="005C5A32"/>
    <w:rsid w:val="005C66DB"/>
    <w:rsid w:val="005C6D22"/>
    <w:rsid w:val="005D09D5"/>
    <w:rsid w:val="005D0BDC"/>
    <w:rsid w:val="005D2263"/>
    <w:rsid w:val="005D260E"/>
    <w:rsid w:val="005D383F"/>
    <w:rsid w:val="005D39EF"/>
    <w:rsid w:val="005D4ABF"/>
    <w:rsid w:val="005D57D7"/>
    <w:rsid w:val="005D5BA1"/>
    <w:rsid w:val="005D7320"/>
    <w:rsid w:val="005D743D"/>
    <w:rsid w:val="005D7E61"/>
    <w:rsid w:val="005E044A"/>
    <w:rsid w:val="005E0B3D"/>
    <w:rsid w:val="005E0B61"/>
    <w:rsid w:val="005E0BBF"/>
    <w:rsid w:val="005E1D48"/>
    <w:rsid w:val="005E206E"/>
    <w:rsid w:val="005E214B"/>
    <w:rsid w:val="005E22AF"/>
    <w:rsid w:val="005E2A3F"/>
    <w:rsid w:val="005E4675"/>
    <w:rsid w:val="005E4E2D"/>
    <w:rsid w:val="005E4E5D"/>
    <w:rsid w:val="005E539A"/>
    <w:rsid w:val="005E55E0"/>
    <w:rsid w:val="005E5755"/>
    <w:rsid w:val="005E5A72"/>
    <w:rsid w:val="005E61A9"/>
    <w:rsid w:val="005E7016"/>
    <w:rsid w:val="005E7ECA"/>
    <w:rsid w:val="005F086A"/>
    <w:rsid w:val="005F11A2"/>
    <w:rsid w:val="005F14E5"/>
    <w:rsid w:val="005F15BF"/>
    <w:rsid w:val="005F1B8E"/>
    <w:rsid w:val="005F5634"/>
    <w:rsid w:val="005F6245"/>
    <w:rsid w:val="005F6EBB"/>
    <w:rsid w:val="005F7438"/>
    <w:rsid w:val="005F78D0"/>
    <w:rsid w:val="0060085D"/>
    <w:rsid w:val="00600BDE"/>
    <w:rsid w:val="00601676"/>
    <w:rsid w:val="006016EC"/>
    <w:rsid w:val="006027F3"/>
    <w:rsid w:val="00602ACA"/>
    <w:rsid w:val="00603185"/>
    <w:rsid w:val="00603A2B"/>
    <w:rsid w:val="00605050"/>
    <w:rsid w:val="0060537B"/>
    <w:rsid w:val="006053FC"/>
    <w:rsid w:val="00605D07"/>
    <w:rsid w:val="00605D7F"/>
    <w:rsid w:val="00611CB9"/>
    <w:rsid w:val="00612CED"/>
    <w:rsid w:val="00613C15"/>
    <w:rsid w:val="006147B2"/>
    <w:rsid w:val="0061504C"/>
    <w:rsid w:val="00615A80"/>
    <w:rsid w:val="00616C83"/>
    <w:rsid w:val="0061719E"/>
    <w:rsid w:val="006201E9"/>
    <w:rsid w:val="006207A5"/>
    <w:rsid w:val="00622118"/>
    <w:rsid w:val="00623981"/>
    <w:rsid w:val="00624035"/>
    <w:rsid w:val="0062427C"/>
    <w:rsid w:val="006248D4"/>
    <w:rsid w:val="00624EAB"/>
    <w:rsid w:val="00625DE2"/>
    <w:rsid w:val="00626B95"/>
    <w:rsid w:val="00627B6F"/>
    <w:rsid w:val="00627C02"/>
    <w:rsid w:val="00630884"/>
    <w:rsid w:val="00630AE3"/>
    <w:rsid w:val="00630E06"/>
    <w:rsid w:val="006314D1"/>
    <w:rsid w:val="00633154"/>
    <w:rsid w:val="00635391"/>
    <w:rsid w:val="006355AA"/>
    <w:rsid w:val="006356F3"/>
    <w:rsid w:val="00636176"/>
    <w:rsid w:val="00636F20"/>
    <w:rsid w:val="006400CD"/>
    <w:rsid w:val="0064199A"/>
    <w:rsid w:val="00641CE6"/>
    <w:rsid w:val="006420D4"/>
    <w:rsid w:val="0064243A"/>
    <w:rsid w:val="00642799"/>
    <w:rsid w:val="00642CED"/>
    <w:rsid w:val="006431D5"/>
    <w:rsid w:val="006436CB"/>
    <w:rsid w:val="00644330"/>
    <w:rsid w:val="00644BA4"/>
    <w:rsid w:val="00644E65"/>
    <w:rsid w:val="00645CDF"/>
    <w:rsid w:val="0065027D"/>
    <w:rsid w:val="00650AEF"/>
    <w:rsid w:val="00651654"/>
    <w:rsid w:val="0065180B"/>
    <w:rsid w:val="006521BD"/>
    <w:rsid w:val="006522A1"/>
    <w:rsid w:val="00652B2B"/>
    <w:rsid w:val="0065456E"/>
    <w:rsid w:val="00656F50"/>
    <w:rsid w:val="0066008E"/>
    <w:rsid w:val="0066233F"/>
    <w:rsid w:val="00663A23"/>
    <w:rsid w:val="0066458F"/>
    <w:rsid w:val="00664773"/>
    <w:rsid w:val="006653BE"/>
    <w:rsid w:val="006663F1"/>
    <w:rsid w:val="00670527"/>
    <w:rsid w:val="00670625"/>
    <w:rsid w:val="006715E7"/>
    <w:rsid w:val="00671FAA"/>
    <w:rsid w:val="0067282A"/>
    <w:rsid w:val="006730B0"/>
    <w:rsid w:val="00677D0D"/>
    <w:rsid w:val="0068015B"/>
    <w:rsid w:val="0068037D"/>
    <w:rsid w:val="00680800"/>
    <w:rsid w:val="006820CF"/>
    <w:rsid w:val="00682F16"/>
    <w:rsid w:val="006835A5"/>
    <w:rsid w:val="0068375A"/>
    <w:rsid w:val="006838DA"/>
    <w:rsid w:val="00684267"/>
    <w:rsid w:val="00684614"/>
    <w:rsid w:val="00685AE5"/>
    <w:rsid w:val="00687F90"/>
    <w:rsid w:val="00692E76"/>
    <w:rsid w:val="00694E4A"/>
    <w:rsid w:val="006956DD"/>
    <w:rsid w:val="0069576C"/>
    <w:rsid w:val="00696899"/>
    <w:rsid w:val="00696F82"/>
    <w:rsid w:val="00697906"/>
    <w:rsid w:val="00697948"/>
    <w:rsid w:val="006A0125"/>
    <w:rsid w:val="006A09A9"/>
    <w:rsid w:val="006A1BB1"/>
    <w:rsid w:val="006A24F0"/>
    <w:rsid w:val="006A4647"/>
    <w:rsid w:val="006A553C"/>
    <w:rsid w:val="006A6042"/>
    <w:rsid w:val="006A69AA"/>
    <w:rsid w:val="006A7825"/>
    <w:rsid w:val="006A7AEC"/>
    <w:rsid w:val="006A7E47"/>
    <w:rsid w:val="006B064E"/>
    <w:rsid w:val="006B106F"/>
    <w:rsid w:val="006B2370"/>
    <w:rsid w:val="006B268F"/>
    <w:rsid w:val="006B2B19"/>
    <w:rsid w:val="006B342D"/>
    <w:rsid w:val="006B48EF"/>
    <w:rsid w:val="006B5480"/>
    <w:rsid w:val="006C2535"/>
    <w:rsid w:val="006C281B"/>
    <w:rsid w:val="006C3618"/>
    <w:rsid w:val="006C5D0C"/>
    <w:rsid w:val="006C6165"/>
    <w:rsid w:val="006C6723"/>
    <w:rsid w:val="006C687A"/>
    <w:rsid w:val="006C7F66"/>
    <w:rsid w:val="006D08BD"/>
    <w:rsid w:val="006D0923"/>
    <w:rsid w:val="006D0D88"/>
    <w:rsid w:val="006D0EE6"/>
    <w:rsid w:val="006D32BD"/>
    <w:rsid w:val="006D390E"/>
    <w:rsid w:val="006D3E00"/>
    <w:rsid w:val="006D439F"/>
    <w:rsid w:val="006D4F3E"/>
    <w:rsid w:val="006D50F8"/>
    <w:rsid w:val="006D64ED"/>
    <w:rsid w:val="006D679B"/>
    <w:rsid w:val="006D67ED"/>
    <w:rsid w:val="006D6890"/>
    <w:rsid w:val="006E04EC"/>
    <w:rsid w:val="006E07E8"/>
    <w:rsid w:val="006E0D76"/>
    <w:rsid w:val="006E1C00"/>
    <w:rsid w:val="006E1F4E"/>
    <w:rsid w:val="006E272F"/>
    <w:rsid w:val="006E3B8C"/>
    <w:rsid w:val="006E5DA3"/>
    <w:rsid w:val="006E693E"/>
    <w:rsid w:val="006E7A44"/>
    <w:rsid w:val="006E7BE0"/>
    <w:rsid w:val="006F121F"/>
    <w:rsid w:val="006F308C"/>
    <w:rsid w:val="006F392B"/>
    <w:rsid w:val="006F728E"/>
    <w:rsid w:val="007002E6"/>
    <w:rsid w:val="00702F6B"/>
    <w:rsid w:val="00704F36"/>
    <w:rsid w:val="00706EDC"/>
    <w:rsid w:val="007070CE"/>
    <w:rsid w:val="00710A5B"/>
    <w:rsid w:val="007110E9"/>
    <w:rsid w:val="00711800"/>
    <w:rsid w:val="007130D7"/>
    <w:rsid w:val="007130F4"/>
    <w:rsid w:val="007133AE"/>
    <w:rsid w:val="00713B86"/>
    <w:rsid w:val="00713E2A"/>
    <w:rsid w:val="00713EBC"/>
    <w:rsid w:val="00714385"/>
    <w:rsid w:val="00715187"/>
    <w:rsid w:val="00715283"/>
    <w:rsid w:val="007157A6"/>
    <w:rsid w:val="00715A13"/>
    <w:rsid w:val="00715D28"/>
    <w:rsid w:val="00716A95"/>
    <w:rsid w:val="00716DED"/>
    <w:rsid w:val="0072060B"/>
    <w:rsid w:val="00720826"/>
    <w:rsid w:val="0072115F"/>
    <w:rsid w:val="0072193B"/>
    <w:rsid w:val="00721C23"/>
    <w:rsid w:val="00721E6D"/>
    <w:rsid w:val="007228F7"/>
    <w:rsid w:val="007230E5"/>
    <w:rsid w:val="0072388B"/>
    <w:rsid w:val="007246FE"/>
    <w:rsid w:val="0072519D"/>
    <w:rsid w:val="00725810"/>
    <w:rsid w:val="00725D91"/>
    <w:rsid w:val="00725DE6"/>
    <w:rsid w:val="00726833"/>
    <w:rsid w:val="00726A49"/>
    <w:rsid w:val="00727A40"/>
    <w:rsid w:val="00727D06"/>
    <w:rsid w:val="007301B8"/>
    <w:rsid w:val="00730611"/>
    <w:rsid w:val="00733B10"/>
    <w:rsid w:val="00733E3C"/>
    <w:rsid w:val="007362D6"/>
    <w:rsid w:val="0073727A"/>
    <w:rsid w:val="0074088A"/>
    <w:rsid w:val="00741592"/>
    <w:rsid w:val="00742827"/>
    <w:rsid w:val="00743D03"/>
    <w:rsid w:val="00743FC4"/>
    <w:rsid w:val="00745378"/>
    <w:rsid w:val="007459D4"/>
    <w:rsid w:val="00745B13"/>
    <w:rsid w:val="00752892"/>
    <w:rsid w:val="00755DA7"/>
    <w:rsid w:val="007562E0"/>
    <w:rsid w:val="00756306"/>
    <w:rsid w:val="00757309"/>
    <w:rsid w:val="00757969"/>
    <w:rsid w:val="007657FA"/>
    <w:rsid w:val="007658CE"/>
    <w:rsid w:val="0076590C"/>
    <w:rsid w:val="00766444"/>
    <w:rsid w:val="007665FD"/>
    <w:rsid w:val="00766C24"/>
    <w:rsid w:val="00767724"/>
    <w:rsid w:val="007701C8"/>
    <w:rsid w:val="00771896"/>
    <w:rsid w:val="007718CB"/>
    <w:rsid w:val="00772937"/>
    <w:rsid w:val="00773CF9"/>
    <w:rsid w:val="007744E7"/>
    <w:rsid w:val="00775795"/>
    <w:rsid w:val="007757EC"/>
    <w:rsid w:val="0077750C"/>
    <w:rsid w:val="00780278"/>
    <w:rsid w:val="007813AF"/>
    <w:rsid w:val="007820E9"/>
    <w:rsid w:val="0078212D"/>
    <w:rsid w:val="00782163"/>
    <w:rsid w:val="00782488"/>
    <w:rsid w:val="007828E2"/>
    <w:rsid w:val="00782B7A"/>
    <w:rsid w:val="00784A67"/>
    <w:rsid w:val="00784B60"/>
    <w:rsid w:val="00784DEF"/>
    <w:rsid w:val="0078568A"/>
    <w:rsid w:val="00786096"/>
    <w:rsid w:val="0078669F"/>
    <w:rsid w:val="00786FEC"/>
    <w:rsid w:val="00787184"/>
    <w:rsid w:val="00790440"/>
    <w:rsid w:val="00791670"/>
    <w:rsid w:val="00793C2E"/>
    <w:rsid w:val="00795FC4"/>
    <w:rsid w:val="007A0564"/>
    <w:rsid w:val="007A2B55"/>
    <w:rsid w:val="007A3B30"/>
    <w:rsid w:val="007A3C5E"/>
    <w:rsid w:val="007A3D4C"/>
    <w:rsid w:val="007A474A"/>
    <w:rsid w:val="007A4C66"/>
    <w:rsid w:val="007A5AEA"/>
    <w:rsid w:val="007A7BB1"/>
    <w:rsid w:val="007A7F7D"/>
    <w:rsid w:val="007B0059"/>
    <w:rsid w:val="007B0247"/>
    <w:rsid w:val="007B0856"/>
    <w:rsid w:val="007B1A9E"/>
    <w:rsid w:val="007B1EA5"/>
    <w:rsid w:val="007B259F"/>
    <w:rsid w:val="007B2737"/>
    <w:rsid w:val="007B38F7"/>
    <w:rsid w:val="007B54B6"/>
    <w:rsid w:val="007B5502"/>
    <w:rsid w:val="007B694F"/>
    <w:rsid w:val="007B7830"/>
    <w:rsid w:val="007B78F4"/>
    <w:rsid w:val="007B7F9E"/>
    <w:rsid w:val="007C0F87"/>
    <w:rsid w:val="007C0F9E"/>
    <w:rsid w:val="007C19C3"/>
    <w:rsid w:val="007C2765"/>
    <w:rsid w:val="007C2C5D"/>
    <w:rsid w:val="007C2F92"/>
    <w:rsid w:val="007C3535"/>
    <w:rsid w:val="007C3F6D"/>
    <w:rsid w:val="007C4B71"/>
    <w:rsid w:val="007C5CBF"/>
    <w:rsid w:val="007C756C"/>
    <w:rsid w:val="007C7969"/>
    <w:rsid w:val="007C7CC6"/>
    <w:rsid w:val="007C7E78"/>
    <w:rsid w:val="007D0140"/>
    <w:rsid w:val="007D06C8"/>
    <w:rsid w:val="007D0EE0"/>
    <w:rsid w:val="007D25EB"/>
    <w:rsid w:val="007D289C"/>
    <w:rsid w:val="007D4E8E"/>
    <w:rsid w:val="007D4F2B"/>
    <w:rsid w:val="007D59FA"/>
    <w:rsid w:val="007D5AB1"/>
    <w:rsid w:val="007D6879"/>
    <w:rsid w:val="007E141E"/>
    <w:rsid w:val="007E278B"/>
    <w:rsid w:val="007E4EAF"/>
    <w:rsid w:val="007E5623"/>
    <w:rsid w:val="007E5A79"/>
    <w:rsid w:val="007E5FBB"/>
    <w:rsid w:val="007E61DC"/>
    <w:rsid w:val="007E68EE"/>
    <w:rsid w:val="007E7C64"/>
    <w:rsid w:val="007F0BAC"/>
    <w:rsid w:val="007F1411"/>
    <w:rsid w:val="007F3020"/>
    <w:rsid w:val="007F439C"/>
    <w:rsid w:val="007F46E8"/>
    <w:rsid w:val="007F47D3"/>
    <w:rsid w:val="007F539D"/>
    <w:rsid w:val="007F5764"/>
    <w:rsid w:val="007F5B25"/>
    <w:rsid w:val="007F6196"/>
    <w:rsid w:val="007F6E79"/>
    <w:rsid w:val="007F7135"/>
    <w:rsid w:val="00800BCB"/>
    <w:rsid w:val="0080199A"/>
    <w:rsid w:val="00802E86"/>
    <w:rsid w:val="00804A38"/>
    <w:rsid w:val="00805F28"/>
    <w:rsid w:val="0080640E"/>
    <w:rsid w:val="00806786"/>
    <w:rsid w:val="00807CA7"/>
    <w:rsid w:val="008101B2"/>
    <w:rsid w:val="008135E5"/>
    <w:rsid w:val="00813A33"/>
    <w:rsid w:val="00816F22"/>
    <w:rsid w:val="00817791"/>
    <w:rsid w:val="00817CCA"/>
    <w:rsid w:val="00820B51"/>
    <w:rsid w:val="008211F2"/>
    <w:rsid w:val="00822967"/>
    <w:rsid w:val="00822C7D"/>
    <w:rsid w:val="0082328B"/>
    <w:rsid w:val="008239AC"/>
    <w:rsid w:val="00825D20"/>
    <w:rsid w:val="00827114"/>
    <w:rsid w:val="00830E26"/>
    <w:rsid w:val="008313A8"/>
    <w:rsid w:val="008316E3"/>
    <w:rsid w:val="00832039"/>
    <w:rsid w:val="008337DE"/>
    <w:rsid w:val="00833B8C"/>
    <w:rsid w:val="008342B1"/>
    <w:rsid w:val="00836269"/>
    <w:rsid w:val="008368C9"/>
    <w:rsid w:val="008372E4"/>
    <w:rsid w:val="00840718"/>
    <w:rsid w:val="0084086C"/>
    <w:rsid w:val="008423B3"/>
    <w:rsid w:val="00842F17"/>
    <w:rsid w:val="008448ED"/>
    <w:rsid w:val="00845F4E"/>
    <w:rsid w:val="0084631A"/>
    <w:rsid w:val="00846E49"/>
    <w:rsid w:val="00850150"/>
    <w:rsid w:val="0085074A"/>
    <w:rsid w:val="00853F99"/>
    <w:rsid w:val="008546DB"/>
    <w:rsid w:val="0085586B"/>
    <w:rsid w:val="00855B54"/>
    <w:rsid w:val="00860022"/>
    <w:rsid w:val="00862134"/>
    <w:rsid w:val="0086251F"/>
    <w:rsid w:val="00863194"/>
    <w:rsid w:val="0086324C"/>
    <w:rsid w:val="0086357C"/>
    <w:rsid w:val="00864BD3"/>
    <w:rsid w:val="00866C19"/>
    <w:rsid w:val="0087056B"/>
    <w:rsid w:val="00871D85"/>
    <w:rsid w:val="008732EE"/>
    <w:rsid w:val="00874220"/>
    <w:rsid w:val="00875613"/>
    <w:rsid w:val="00877F06"/>
    <w:rsid w:val="00880236"/>
    <w:rsid w:val="00881835"/>
    <w:rsid w:val="0088305D"/>
    <w:rsid w:val="00884C53"/>
    <w:rsid w:val="00885E97"/>
    <w:rsid w:val="00886E8A"/>
    <w:rsid w:val="008874F5"/>
    <w:rsid w:val="00887720"/>
    <w:rsid w:val="00887B14"/>
    <w:rsid w:val="00887F1C"/>
    <w:rsid w:val="00891057"/>
    <w:rsid w:val="00891C45"/>
    <w:rsid w:val="00891DEE"/>
    <w:rsid w:val="00892193"/>
    <w:rsid w:val="008923D9"/>
    <w:rsid w:val="00892509"/>
    <w:rsid w:val="00893E25"/>
    <w:rsid w:val="00896209"/>
    <w:rsid w:val="00897E4D"/>
    <w:rsid w:val="008A0E7C"/>
    <w:rsid w:val="008A0F2B"/>
    <w:rsid w:val="008A11EF"/>
    <w:rsid w:val="008A314B"/>
    <w:rsid w:val="008A361F"/>
    <w:rsid w:val="008A381A"/>
    <w:rsid w:val="008A3A34"/>
    <w:rsid w:val="008A43C5"/>
    <w:rsid w:val="008A4504"/>
    <w:rsid w:val="008A46A7"/>
    <w:rsid w:val="008A4A6A"/>
    <w:rsid w:val="008A65D1"/>
    <w:rsid w:val="008A664F"/>
    <w:rsid w:val="008B00A6"/>
    <w:rsid w:val="008B1BEB"/>
    <w:rsid w:val="008B311A"/>
    <w:rsid w:val="008B5B74"/>
    <w:rsid w:val="008B691F"/>
    <w:rsid w:val="008B7279"/>
    <w:rsid w:val="008B7E83"/>
    <w:rsid w:val="008B7EA8"/>
    <w:rsid w:val="008C1613"/>
    <w:rsid w:val="008C2726"/>
    <w:rsid w:val="008C2749"/>
    <w:rsid w:val="008C27A5"/>
    <w:rsid w:val="008C44B2"/>
    <w:rsid w:val="008D0380"/>
    <w:rsid w:val="008D0B71"/>
    <w:rsid w:val="008D0C1C"/>
    <w:rsid w:val="008D0E30"/>
    <w:rsid w:val="008D18D5"/>
    <w:rsid w:val="008D1E85"/>
    <w:rsid w:val="008D2ACD"/>
    <w:rsid w:val="008D2B6D"/>
    <w:rsid w:val="008D4302"/>
    <w:rsid w:val="008D467E"/>
    <w:rsid w:val="008D46B2"/>
    <w:rsid w:val="008D4B27"/>
    <w:rsid w:val="008D565C"/>
    <w:rsid w:val="008D7B71"/>
    <w:rsid w:val="008D7CF0"/>
    <w:rsid w:val="008D7D49"/>
    <w:rsid w:val="008D7E4C"/>
    <w:rsid w:val="008E089D"/>
    <w:rsid w:val="008E0CE7"/>
    <w:rsid w:val="008E1BB2"/>
    <w:rsid w:val="008E2375"/>
    <w:rsid w:val="008E254E"/>
    <w:rsid w:val="008E2DF0"/>
    <w:rsid w:val="008E38C8"/>
    <w:rsid w:val="008E3974"/>
    <w:rsid w:val="008E4306"/>
    <w:rsid w:val="008E5451"/>
    <w:rsid w:val="008E6AA6"/>
    <w:rsid w:val="008E6D0A"/>
    <w:rsid w:val="008F030C"/>
    <w:rsid w:val="008F2F99"/>
    <w:rsid w:val="008F3494"/>
    <w:rsid w:val="008F4C8D"/>
    <w:rsid w:val="008F5542"/>
    <w:rsid w:val="008F5BAF"/>
    <w:rsid w:val="008F6D20"/>
    <w:rsid w:val="0090002E"/>
    <w:rsid w:val="00900874"/>
    <w:rsid w:val="00901199"/>
    <w:rsid w:val="00902712"/>
    <w:rsid w:val="00902986"/>
    <w:rsid w:val="00902A05"/>
    <w:rsid w:val="00904BBC"/>
    <w:rsid w:val="00905363"/>
    <w:rsid w:val="00905A4B"/>
    <w:rsid w:val="00905B5C"/>
    <w:rsid w:val="009060DE"/>
    <w:rsid w:val="00906246"/>
    <w:rsid w:val="0090671A"/>
    <w:rsid w:val="00906A6F"/>
    <w:rsid w:val="00906C6A"/>
    <w:rsid w:val="009076E5"/>
    <w:rsid w:val="00910E5D"/>
    <w:rsid w:val="009114D2"/>
    <w:rsid w:val="009136E0"/>
    <w:rsid w:val="0091416F"/>
    <w:rsid w:val="009157D6"/>
    <w:rsid w:val="00920F9C"/>
    <w:rsid w:val="00921635"/>
    <w:rsid w:val="00922170"/>
    <w:rsid w:val="00922E72"/>
    <w:rsid w:val="00923A80"/>
    <w:rsid w:val="00923B55"/>
    <w:rsid w:val="009242F8"/>
    <w:rsid w:val="0092509A"/>
    <w:rsid w:val="009256D4"/>
    <w:rsid w:val="00925AE7"/>
    <w:rsid w:val="00925C56"/>
    <w:rsid w:val="00925F93"/>
    <w:rsid w:val="009264B7"/>
    <w:rsid w:val="00927949"/>
    <w:rsid w:val="009309B8"/>
    <w:rsid w:val="00930C3D"/>
    <w:rsid w:val="0093709D"/>
    <w:rsid w:val="00937E97"/>
    <w:rsid w:val="009406AA"/>
    <w:rsid w:val="00941060"/>
    <w:rsid w:val="0094149D"/>
    <w:rsid w:val="009414C8"/>
    <w:rsid w:val="00941FE5"/>
    <w:rsid w:val="00943494"/>
    <w:rsid w:val="00943B08"/>
    <w:rsid w:val="009469D9"/>
    <w:rsid w:val="00947EB9"/>
    <w:rsid w:val="00950144"/>
    <w:rsid w:val="00950BA7"/>
    <w:rsid w:val="00951979"/>
    <w:rsid w:val="00952445"/>
    <w:rsid w:val="00954A46"/>
    <w:rsid w:val="00955D33"/>
    <w:rsid w:val="00956102"/>
    <w:rsid w:val="00956894"/>
    <w:rsid w:val="009570FD"/>
    <w:rsid w:val="0095749F"/>
    <w:rsid w:val="00957BD3"/>
    <w:rsid w:val="00960EB8"/>
    <w:rsid w:val="009618A0"/>
    <w:rsid w:val="00962E47"/>
    <w:rsid w:val="00963F8C"/>
    <w:rsid w:val="0096762C"/>
    <w:rsid w:val="00967675"/>
    <w:rsid w:val="009677AB"/>
    <w:rsid w:val="00967DC8"/>
    <w:rsid w:val="0097122F"/>
    <w:rsid w:val="009717EB"/>
    <w:rsid w:val="00973AAC"/>
    <w:rsid w:val="00975FBF"/>
    <w:rsid w:val="00977BA0"/>
    <w:rsid w:val="00980E66"/>
    <w:rsid w:val="00980F07"/>
    <w:rsid w:val="00981861"/>
    <w:rsid w:val="00981AB5"/>
    <w:rsid w:val="00981F8F"/>
    <w:rsid w:val="0098355A"/>
    <w:rsid w:val="009835D4"/>
    <w:rsid w:val="00983693"/>
    <w:rsid w:val="009852C0"/>
    <w:rsid w:val="009859C2"/>
    <w:rsid w:val="00986AD8"/>
    <w:rsid w:val="0098710D"/>
    <w:rsid w:val="009900CF"/>
    <w:rsid w:val="009917BF"/>
    <w:rsid w:val="009929F0"/>
    <w:rsid w:val="009934A0"/>
    <w:rsid w:val="009954DB"/>
    <w:rsid w:val="00995958"/>
    <w:rsid w:val="00996081"/>
    <w:rsid w:val="009964BF"/>
    <w:rsid w:val="00997B7D"/>
    <w:rsid w:val="00997BD3"/>
    <w:rsid w:val="00997FE7"/>
    <w:rsid w:val="009A0691"/>
    <w:rsid w:val="009A09E3"/>
    <w:rsid w:val="009A104F"/>
    <w:rsid w:val="009A3FF2"/>
    <w:rsid w:val="009A5107"/>
    <w:rsid w:val="009A56E6"/>
    <w:rsid w:val="009A58C3"/>
    <w:rsid w:val="009A60BA"/>
    <w:rsid w:val="009A619A"/>
    <w:rsid w:val="009A7C6B"/>
    <w:rsid w:val="009A7FCF"/>
    <w:rsid w:val="009B50AD"/>
    <w:rsid w:val="009B5433"/>
    <w:rsid w:val="009B5ECD"/>
    <w:rsid w:val="009B6345"/>
    <w:rsid w:val="009B6EAD"/>
    <w:rsid w:val="009B74D8"/>
    <w:rsid w:val="009B7CF7"/>
    <w:rsid w:val="009B7EAD"/>
    <w:rsid w:val="009C1934"/>
    <w:rsid w:val="009C31FB"/>
    <w:rsid w:val="009C358D"/>
    <w:rsid w:val="009C3BDA"/>
    <w:rsid w:val="009C3C42"/>
    <w:rsid w:val="009C44E8"/>
    <w:rsid w:val="009C4CDE"/>
    <w:rsid w:val="009C57A1"/>
    <w:rsid w:val="009C5B41"/>
    <w:rsid w:val="009C63DC"/>
    <w:rsid w:val="009C6DAA"/>
    <w:rsid w:val="009C7581"/>
    <w:rsid w:val="009C7892"/>
    <w:rsid w:val="009D15EA"/>
    <w:rsid w:val="009D2826"/>
    <w:rsid w:val="009D3D05"/>
    <w:rsid w:val="009D3EDD"/>
    <w:rsid w:val="009D42B1"/>
    <w:rsid w:val="009D461B"/>
    <w:rsid w:val="009D4A0C"/>
    <w:rsid w:val="009D4AD7"/>
    <w:rsid w:val="009D4D9B"/>
    <w:rsid w:val="009D535E"/>
    <w:rsid w:val="009D5639"/>
    <w:rsid w:val="009D57BF"/>
    <w:rsid w:val="009D716F"/>
    <w:rsid w:val="009D78CF"/>
    <w:rsid w:val="009E0924"/>
    <w:rsid w:val="009E1ECD"/>
    <w:rsid w:val="009E2B17"/>
    <w:rsid w:val="009E3076"/>
    <w:rsid w:val="009E3400"/>
    <w:rsid w:val="009E629F"/>
    <w:rsid w:val="009F0440"/>
    <w:rsid w:val="009F11E8"/>
    <w:rsid w:val="009F15D1"/>
    <w:rsid w:val="009F206F"/>
    <w:rsid w:val="009F41BE"/>
    <w:rsid w:val="009F4ABF"/>
    <w:rsid w:val="009F5235"/>
    <w:rsid w:val="009F5249"/>
    <w:rsid w:val="009F5544"/>
    <w:rsid w:val="009F5A93"/>
    <w:rsid w:val="009F6138"/>
    <w:rsid w:val="009F74DF"/>
    <w:rsid w:val="009F79E6"/>
    <w:rsid w:val="00A017D4"/>
    <w:rsid w:val="00A020A0"/>
    <w:rsid w:val="00A04E83"/>
    <w:rsid w:val="00A06C21"/>
    <w:rsid w:val="00A07475"/>
    <w:rsid w:val="00A07709"/>
    <w:rsid w:val="00A10663"/>
    <w:rsid w:val="00A113B8"/>
    <w:rsid w:val="00A1207D"/>
    <w:rsid w:val="00A126E2"/>
    <w:rsid w:val="00A13B01"/>
    <w:rsid w:val="00A14518"/>
    <w:rsid w:val="00A1527A"/>
    <w:rsid w:val="00A161CD"/>
    <w:rsid w:val="00A215C5"/>
    <w:rsid w:val="00A21B70"/>
    <w:rsid w:val="00A21CA5"/>
    <w:rsid w:val="00A21DA3"/>
    <w:rsid w:val="00A24431"/>
    <w:rsid w:val="00A245F1"/>
    <w:rsid w:val="00A321D5"/>
    <w:rsid w:val="00A330B7"/>
    <w:rsid w:val="00A33453"/>
    <w:rsid w:val="00A33A97"/>
    <w:rsid w:val="00A352EC"/>
    <w:rsid w:val="00A36C1C"/>
    <w:rsid w:val="00A36EA2"/>
    <w:rsid w:val="00A36FD5"/>
    <w:rsid w:val="00A37849"/>
    <w:rsid w:val="00A37A3B"/>
    <w:rsid w:val="00A41C52"/>
    <w:rsid w:val="00A42911"/>
    <w:rsid w:val="00A42E06"/>
    <w:rsid w:val="00A43528"/>
    <w:rsid w:val="00A43FBB"/>
    <w:rsid w:val="00A45797"/>
    <w:rsid w:val="00A46A4E"/>
    <w:rsid w:val="00A47C9D"/>
    <w:rsid w:val="00A50B94"/>
    <w:rsid w:val="00A516B7"/>
    <w:rsid w:val="00A518C9"/>
    <w:rsid w:val="00A537AF"/>
    <w:rsid w:val="00A53F4A"/>
    <w:rsid w:val="00A542B6"/>
    <w:rsid w:val="00A5430F"/>
    <w:rsid w:val="00A5437F"/>
    <w:rsid w:val="00A556DE"/>
    <w:rsid w:val="00A558B5"/>
    <w:rsid w:val="00A56882"/>
    <w:rsid w:val="00A605B3"/>
    <w:rsid w:val="00A60654"/>
    <w:rsid w:val="00A6332E"/>
    <w:rsid w:val="00A6438F"/>
    <w:rsid w:val="00A643BD"/>
    <w:rsid w:val="00A64764"/>
    <w:rsid w:val="00A64B23"/>
    <w:rsid w:val="00A66BCF"/>
    <w:rsid w:val="00A66D41"/>
    <w:rsid w:val="00A67C36"/>
    <w:rsid w:val="00A70559"/>
    <w:rsid w:val="00A71C2A"/>
    <w:rsid w:val="00A72901"/>
    <w:rsid w:val="00A7491C"/>
    <w:rsid w:val="00A75E86"/>
    <w:rsid w:val="00A76834"/>
    <w:rsid w:val="00A76E28"/>
    <w:rsid w:val="00A7747C"/>
    <w:rsid w:val="00A808A3"/>
    <w:rsid w:val="00A810BD"/>
    <w:rsid w:val="00A82AAB"/>
    <w:rsid w:val="00A84806"/>
    <w:rsid w:val="00A85A02"/>
    <w:rsid w:val="00A87055"/>
    <w:rsid w:val="00A87449"/>
    <w:rsid w:val="00A87FAF"/>
    <w:rsid w:val="00A900B9"/>
    <w:rsid w:val="00A91105"/>
    <w:rsid w:val="00A91507"/>
    <w:rsid w:val="00A91596"/>
    <w:rsid w:val="00A91A70"/>
    <w:rsid w:val="00A92300"/>
    <w:rsid w:val="00A924DE"/>
    <w:rsid w:val="00A93755"/>
    <w:rsid w:val="00A9463E"/>
    <w:rsid w:val="00A95EFD"/>
    <w:rsid w:val="00A9625E"/>
    <w:rsid w:val="00A96F39"/>
    <w:rsid w:val="00AA0ACA"/>
    <w:rsid w:val="00AA2B72"/>
    <w:rsid w:val="00AA3E1D"/>
    <w:rsid w:val="00AA492C"/>
    <w:rsid w:val="00AA4F00"/>
    <w:rsid w:val="00AA5E88"/>
    <w:rsid w:val="00AA63A8"/>
    <w:rsid w:val="00AA6E77"/>
    <w:rsid w:val="00AA6FBF"/>
    <w:rsid w:val="00AA7377"/>
    <w:rsid w:val="00AA79E9"/>
    <w:rsid w:val="00AB27BD"/>
    <w:rsid w:val="00AB2992"/>
    <w:rsid w:val="00AB2CE1"/>
    <w:rsid w:val="00AB2FE6"/>
    <w:rsid w:val="00AB343B"/>
    <w:rsid w:val="00AB45FB"/>
    <w:rsid w:val="00AB4E50"/>
    <w:rsid w:val="00AB594D"/>
    <w:rsid w:val="00AB5A08"/>
    <w:rsid w:val="00AB5C57"/>
    <w:rsid w:val="00AB5D39"/>
    <w:rsid w:val="00AB5DE4"/>
    <w:rsid w:val="00AB7004"/>
    <w:rsid w:val="00AB7215"/>
    <w:rsid w:val="00AB76BE"/>
    <w:rsid w:val="00AB7F5A"/>
    <w:rsid w:val="00AC0E6B"/>
    <w:rsid w:val="00AC22F6"/>
    <w:rsid w:val="00AC3696"/>
    <w:rsid w:val="00AC3819"/>
    <w:rsid w:val="00AC4982"/>
    <w:rsid w:val="00AC5EE7"/>
    <w:rsid w:val="00AC63DB"/>
    <w:rsid w:val="00AC6511"/>
    <w:rsid w:val="00AC754F"/>
    <w:rsid w:val="00AC7D01"/>
    <w:rsid w:val="00AC7E4F"/>
    <w:rsid w:val="00AD06F0"/>
    <w:rsid w:val="00AD3052"/>
    <w:rsid w:val="00AD3565"/>
    <w:rsid w:val="00AD3DE3"/>
    <w:rsid w:val="00AD3E58"/>
    <w:rsid w:val="00AD4D90"/>
    <w:rsid w:val="00AD4E8C"/>
    <w:rsid w:val="00AD4E9A"/>
    <w:rsid w:val="00AD552F"/>
    <w:rsid w:val="00AD5571"/>
    <w:rsid w:val="00AD57D9"/>
    <w:rsid w:val="00AD68B1"/>
    <w:rsid w:val="00AD784E"/>
    <w:rsid w:val="00AD78B7"/>
    <w:rsid w:val="00AD79E8"/>
    <w:rsid w:val="00AE0188"/>
    <w:rsid w:val="00AE076B"/>
    <w:rsid w:val="00AE099D"/>
    <w:rsid w:val="00AE0B5D"/>
    <w:rsid w:val="00AE0E00"/>
    <w:rsid w:val="00AE0F37"/>
    <w:rsid w:val="00AE134B"/>
    <w:rsid w:val="00AE18AC"/>
    <w:rsid w:val="00AE2B61"/>
    <w:rsid w:val="00AE3926"/>
    <w:rsid w:val="00AE3962"/>
    <w:rsid w:val="00AE4103"/>
    <w:rsid w:val="00AE4A1C"/>
    <w:rsid w:val="00AE621B"/>
    <w:rsid w:val="00AE6506"/>
    <w:rsid w:val="00AE6B09"/>
    <w:rsid w:val="00AE6E8C"/>
    <w:rsid w:val="00AE722D"/>
    <w:rsid w:val="00AF041B"/>
    <w:rsid w:val="00AF0DD7"/>
    <w:rsid w:val="00AF0E21"/>
    <w:rsid w:val="00AF1665"/>
    <w:rsid w:val="00AF2317"/>
    <w:rsid w:val="00AF2413"/>
    <w:rsid w:val="00AF314A"/>
    <w:rsid w:val="00AF3559"/>
    <w:rsid w:val="00AF35F3"/>
    <w:rsid w:val="00AF4EB2"/>
    <w:rsid w:val="00AF661A"/>
    <w:rsid w:val="00AF794E"/>
    <w:rsid w:val="00B000D8"/>
    <w:rsid w:val="00B01333"/>
    <w:rsid w:val="00B01A9B"/>
    <w:rsid w:val="00B02E96"/>
    <w:rsid w:val="00B050E6"/>
    <w:rsid w:val="00B06081"/>
    <w:rsid w:val="00B06DC3"/>
    <w:rsid w:val="00B06FA1"/>
    <w:rsid w:val="00B1108A"/>
    <w:rsid w:val="00B12677"/>
    <w:rsid w:val="00B1316E"/>
    <w:rsid w:val="00B138B4"/>
    <w:rsid w:val="00B15047"/>
    <w:rsid w:val="00B15C6F"/>
    <w:rsid w:val="00B17060"/>
    <w:rsid w:val="00B17168"/>
    <w:rsid w:val="00B1734D"/>
    <w:rsid w:val="00B20FE3"/>
    <w:rsid w:val="00B22091"/>
    <w:rsid w:val="00B23651"/>
    <w:rsid w:val="00B27233"/>
    <w:rsid w:val="00B277F7"/>
    <w:rsid w:val="00B302CF"/>
    <w:rsid w:val="00B308C6"/>
    <w:rsid w:val="00B3146E"/>
    <w:rsid w:val="00B3146F"/>
    <w:rsid w:val="00B31CD9"/>
    <w:rsid w:val="00B327EA"/>
    <w:rsid w:val="00B33D03"/>
    <w:rsid w:val="00B34061"/>
    <w:rsid w:val="00B34066"/>
    <w:rsid w:val="00B3526B"/>
    <w:rsid w:val="00B3554C"/>
    <w:rsid w:val="00B37315"/>
    <w:rsid w:val="00B412F3"/>
    <w:rsid w:val="00B414E9"/>
    <w:rsid w:val="00B42413"/>
    <w:rsid w:val="00B42C7E"/>
    <w:rsid w:val="00B4316E"/>
    <w:rsid w:val="00B44A2F"/>
    <w:rsid w:val="00B4586A"/>
    <w:rsid w:val="00B46C28"/>
    <w:rsid w:val="00B47023"/>
    <w:rsid w:val="00B47094"/>
    <w:rsid w:val="00B47A5B"/>
    <w:rsid w:val="00B50424"/>
    <w:rsid w:val="00B51128"/>
    <w:rsid w:val="00B51375"/>
    <w:rsid w:val="00B513AF"/>
    <w:rsid w:val="00B5287C"/>
    <w:rsid w:val="00B538AE"/>
    <w:rsid w:val="00B539D3"/>
    <w:rsid w:val="00B5587F"/>
    <w:rsid w:val="00B566B2"/>
    <w:rsid w:val="00B5672C"/>
    <w:rsid w:val="00B56ACB"/>
    <w:rsid w:val="00B6101C"/>
    <w:rsid w:val="00B615F0"/>
    <w:rsid w:val="00B626BE"/>
    <w:rsid w:val="00B64975"/>
    <w:rsid w:val="00B66972"/>
    <w:rsid w:val="00B66D29"/>
    <w:rsid w:val="00B676E2"/>
    <w:rsid w:val="00B72480"/>
    <w:rsid w:val="00B72EFE"/>
    <w:rsid w:val="00B7463A"/>
    <w:rsid w:val="00B7574A"/>
    <w:rsid w:val="00B76721"/>
    <w:rsid w:val="00B774AF"/>
    <w:rsid w:val="00B80615"/>
    <w:rsid w:val="00B80B5C"/>
    <w:rsid w:val="00B80B9E"/>
    <w:rsid w:val="00B82E65"/>
    <w:rsid w:val="00B84A3F"/>
    <w:rsid w:val="00B85038"/>
    <w:rsid w:val="00B857F1"/>
    <w:rsid w:val="00B85A63"/>
    <w:rsid w:val="00B85FF4"/>
    <w:rsid w:val="00B872BF"/>
    <w:rsid w:val="00B875BC"/>
    <w:rsid w:val="00B916C3"/>
    <w:rsid w:val="00B92784"/>
    <w:rsid w:val="00B92DC4"/>
    <w:rsid w:val="00B93F21"/>
    <w:rsid w:val="00B9462C"/>
    <w:rsid w:val="00B9561E"/>
    <w:rsid w:val="00B95E9A"/>
    <w:rsid w:val="00BA126A"/>
    <w:rsid w:val="00BA1B62"/>
    <w:rsid w:val="00BA2032"/>
    <w:rsid w:val="00BA26CC"/>
    <w:rsid w:val="00BA39BB"/>
    <w:rsid w:val="00BA6147"/>
    <w:rsid w:val="00BA627F"/>
    <w:rsid w:val="00BA6AAB"/>
    <w:rsid w:val="00BB17DB"/>
    <w:rsid w:val="00BB2A52"/>
    <w:rsid w:val="00BB32EE"/>
    <w:rsid w:val="00BB3568"/>
    <w:rsid w:val="00BB39AA"/>
    <w:rsid w:val="00BB42F7"/>
    <w:rsid w:val="00BB4572"/>
    <w:rsid w:val="00BB4AB7"/>
    <w:rsid w:val="00BB4F81"/>
    <w:rsid w:val="00BB6C97"/>
    <w:rsid w:val="00BC049B"/>
    <w:rsid w:val="00BC0633"/>
    <w:rsid w:val="00BC09F9"/>
    <w:rsid w:val="00BC0B27"/>
    <w:rsid w:val="00BC21FA"/>
    <w:rsid w:val="00BC2389"/>
    <w:rsid w:val="00BC27F3"/>
    <w:rsid w:val="00BC2E94"/>
    <w:rsid w:val="00BC3979"/>
    <w:rsid w:val="00BC39C7"/>
    <w:rsid w:val="00BC3A2A"/>
    <w:rsid w:val="00BC4299"/>
    <w:rsid w:val="00BC43C3"/>
    <w:rsid w:val="00BC44D2"/>
    <w:rsid w:val="00BC487F"/>
    <w:rsid w:val="00BC542F"/>
    <w:rsid w:val="00BC6273"/>
    <w:rsid w:val="00BC67A6"/>
    <w:rsid w:val="00BD1674"/>
    <w:rsid w:val="00BD1AEC"/>
    <w:rsid w:val="00BD1B50"/>
    <w:rsid w:val="00BD3178"/>
    <w:rsid w:val="00BD4DC6"/>
    <w:rsid w:val="00BD4DD3"/>
    <w:rsid w:val="00BD5101"/>
    <w:rsid w:val="00BD54AC"/>
    <w:rsid w:val="00BD589C"/>
    <w:rsid w:val="00BD6A97"/>
    <w:rsid w:val="00BD6C7D"/>
    <w:rsid w:val="00BD6C84"/>
    <w:rsid w:val="00BD76F9"/>
    <w:rsid w:val="00BD7F33"/>
    <w:rsid w:val="00BE038A"/>
    <w:rsid w:val="00BE0BAC"/>
    <w:rsid w:val="00BE0F21"/>
    <w:rsid w:val="00BE1879"/>
    <w:rsid w:val="00BE2A0A"/>
    <w:rsid w:val="00BE37AA"/>
    <w:rsid w:val="00BE45EA"/>
    <w:rsid w:val="00BE4D62"/>
    <w:rsid w:val="00BE7387"/>
    <w:rsid w:val="00BE74D3"/>
    <w:rsid w:val="00BF2CAD"/>
    <w:rsid w:val="00BF3FB4"/>
    <w:rsid w:val="00BF42B6"/>
    <w:rsid w:val="00BF508B"/>
    <w:rsid w:val="00BF509B"/>
    <w:rsid w:val="00BF61DE"/>
    <w:rsid w:val="00BF7984"/>
    <w:rsid w:val="00C005CA"/>
    <w:rsid w:val="00C00F47"/>
    <w:rsid w:val="00C013B3"/>
    <w:rsid w:val="00C01E81"/>
    <w:rsid w:val="00C041E1"/>
    <w:rsid w:val="00C04F91"/>
    <w:rsid w:val="00C05041"/>
    <w:rsid w:val="00C06319"/>
    <w:rsid w:val="00C06481"/>
    <w:rsid w:val="00C0650A"/>
    <w:rsid w:val="00C06C18"/>
    <w:rsid w:val="00C10441"/>
    <w:rsid w:val="00C10790"/>
    <w:rsid w:val="00C11F7F"/>
    <w:rsid w:val="00C12AD7"/>
    <w:rsid w:val="00C14B25"/>
    <w:rsid w:val="00C14C17"/>
    <w:rsid w:val="00C15531"/>
    <w:rsid w:val="00C17408"/>
    <w:rsid w:val="00C17B91"/>
    <w:rsid w:val="00C17C2C"/>
    <w:rsid w:val="00C2011B"/>
    <w:rsid w:val="00C21E64"/>
    <w:rsid w:val="00C24258"/>
    <w:rsid w:val="00C252CB"/>
    <w:rsid w:val="00C25593"/>
    <w:rsid w:val="00C2566F"/>
    <w:rsid w:val="00C25E83"/>
    <w:rsid w:val="00C30300"/>
    <w:rsid w:val="00C305EE"/>
    <w:rsid w:val="00C31A83"/>
    <w:rsid w:val="00C31E93"/>
    <w:rsid w:val="00C35E14"/>
    <w:rsid w:val="00C36D2D"/>
    <w:rsid w:val="00C37513"/>
    <w:rsid w:val="00C37CF4"/>
    <w:rsid w:val="00C37D0B"/>
    <w:rsid w:val="00C43B7C"/>
    <w:rsid w:val="00C44612"/>
    <w:rsid w:val="00C447D5"/>
    <w:rsid w:val="00C45229"/>
    <w:rsid w:val="00C45C8D"/>
    <w:rsid w:val="00C45F61"/>
    <w:rsid w:val="00C47501"/>
    <w:rsid w:val="00C47F47"/>
    <w:rsid w:val="00C5099C"/>
    <w:rsid w:val="00C51143"/>
    <w:rsid w:val="00C51CA9"/>
    <w:rsid w:val="00C5274F"/>
    <w:rsid w:val="00C53124"/>
    <w:rsid w:val="00C53447"/>
    <w:rsid w:val="00C54CE6"/>
    <w:rsid w:val="00C55A96"/>
    <w:rsid w:val="00C55CF2"/>
    <w:rsid w:val="00C564C0"/>
    <w:rsid w:val="00C56CA5"/>
    <w:rsid w:val="00C57539"/>
    <w:rsid w:val="00C578AD"/>
    <w:rsid w:val="00C604CF"/>
    <w:rsid w:val="00C6093B"/>
    <w:rsid w:val="00C63338"/>
    <w:rsid w:val="00C6347F"/>
    <w:rsid w:val="00C6388E"/>
    <w:rsid w:val="00C63A0A"/>
    <w:rsid w:val="00C649C2"/>
    <w:rsid w:val="00C649EE"/>
    <w:rsid w:val="00C65B6C"/>
    <w:rsid w:val="00C664CA"/>
    <w:rsid w:val="00C668A6"/>
    <w:rsid w:val="00C70112"/>
    <w:rsid w:val="00C701C7"/>
    <w:rsid w:val="00C7243C"/>
    <w:rsid w:val="00C72679"/>
    <w:rsid w:val="00C728E7"/>
    <w:rsid w:val="00C73745"/>
    <w:rsid w:val="00C74B2A"/>
    <w:rsid w:val="00C759CD"/>
    <w:rsid w:val="00C765CB"/>
    <w:rsid w:val="00C7662E"/>
    <w:rsid w:val="00C77CAB"/>
    <w:rsid w:val="00C77DE7"/>
    <w:rsid w:val="00C77E5C"/>
    <w:rsid w:val="00C80560"/>
    <w:rsid w:val="00C80588"/>
    <w:rsid w:val="00C8059B"/>
    <w:rsid w:val="00C813D1"/>
    <w:rsid w:val="00C8215F"/>
    <w:rsid w:val="00C82BDA"/>
    <w:rsid w:val="00C82D57"/>
    <w:rsid w:val="00C83B8F"/>
    <w:rsid w:val="00C84767"/>
    <w:rsid w:val="00C855F9"/>
    <w:rsid w:val="00C8657D"/>
    <w:rsid w:val="00C90E5A"/>
    <w:rsid w:val="00C9135B"/>
    <w:rsid w:val="00C9143E"/>
    <w:rsid w:val="00C91D78"/>
    <w:rsid w:val="00C93540"/>
    <w:rsid w:val="00C93FB4"/>
    <w:rsid w:val="00C94E30"/>
    <w:rsid w:val="00C954ED"/>
    <w:rsid w:val="00C95BF6"/>
    <w:rsid w:val="00C95ECC"/>
    <w:rsid w:val="00C965B7"/>
    <w:rsid w:val="00C96ACE"/>
    <w:rsid w:val="00C97D1A"/>
    <w:rsid w:val="00C97D77"/>
    <w:rsid w:val="00CA4758"/>
    <w:rsid w:val="00CA6046"/>
    <w:rsid w:val="00CA623E"/>
    <w:rsid w:val="00CA647E"/>
    <w:rsid w:val="00CA74D7"/>
    <w:rsid w:val="00CA7D2A"/>
    <w:rsid w:val="00CB05C3"/>
    <w:rsid w:val="00CB05F1"/>
    <w:rsid w:val="00CB0BFE"/>
    <w:rsid w:val="00CB0F83"/>
    <w:rsid w:val="00CB2D02"/>
    <w:rsid w:val="00CB2FCB"/>
    <w:rsid w:val="00CB402C"/>
    <w:rsid w:val="00CB42D9"/>
    <w:rsid w:val="00CB452B"/>
    <w:rsid w:val="00CB4A4F"/>
    <w:rsid w:val="00CB5379"/>
    <w:rsid w:val="00CB5A77"/>
    <w:rsid w:val="00CB77C3"/>
    <w:rsid w:val="00CB7ABD"/>
    <w:rsid w:val="00CC0925"/>
    <w:rsid w:val="00CC11A8"/>
    <w:rsid w:val="00CC14A9"/>
    <w:rsid w:val="00CC2567"/>
    <w:rsid w:val="00CC2A2B"/>
    <w:rsid w:val="00CC2B51"/>
    <w:rsid w:val="00CC349C"/>
    <w:rsid w:val="00CC5145"/>
    <w:rsid w:val="00CC68E2"/>
    <w:rsid w:val="00CC6A74"/>
    <w:rsid w:val="00CC6FC6"/>
    <w:rsid w:val="00CD03B9"/>
    <w:rsid w:val="00CD1232"/>
    <w:rsid w:val="00CD14FC"/>
    <w:rsid w:val="00CD1D9F"/>
    <w:rsid w:val="00CD2B87"/>
    <w:rsid w:val="00CD309D"/>
    <w:rsid w:val="00CD3E9E"/>
    <w:rsid w:val="00CD4727"/>
    <w:rsid w:val="00CD4F57"/>
    <w:rsid w:val="00CD6677"/>
    <w:rsid w:val="00CD7884"/>
    <w:rsid w:val="00CD7E25"/>
    <w:rsid w:val="00CE002D"/>
    <w:rsid w:val="00CE0653"/>
    <w:rsid w:val="00CE06F4"/>
    <w:rsid w:val="00CE0CD6"/>
    <w:rsid w:val="00CE208A"/>
    <w:rsid w:val="00CE232F"/>
    <w:rsid w:val="00CE2ED8"/>
    <w:rsid w:val="00CE3FD0"/>
    <w:rsid w:val="00CE512F"/>
    <w:rsid w:val="00CE534D"/>
    <w:rsid w:val="00CE5475"/>
    <w:rsid w:val="00CE5C2F"/>
    <w:rsid w:val="00CE6300"/>
    <w:rsid w:val="00CE6B25"/>
    <w:rsid w:val="00CE7D6C"/>
    <w:rsid w:val="00CF17CD"/>
    <w:rsid w:val="00CF1A60"/>
    <w:rsid w:val="00CF2927"/>
    <w:rsid w:val="00CF2948"/>
    <w:rsid w:val="00CF3FF1"/>
    <w:rsid w:val="00CF48E8"/>
    <w:rsid w:val="00CF4B5F"/>
    <w:rsid w:val="00CF5986"/>
    <w:rsid w:val="00CF612A"/>
    <w:rsid w:val="00CF6954"/>
    <w:rsid w:val="00CF69B9"/>
    <w:rsid w:val="00CF6B48"/>
    <w:rsid w:val="00D0047C"/>
    <w:rsid w:val="00D0185E"/>
    <w:rsid w:val="00D02594"/>
    <w:rsid w:val="00D0593C"/>
    <w:rsid w:val="00D06069"/>
    <w:rsid w:val="00D078C4"/>
    <w:rsid w:val="00D07A72"/>
    <w:rsid w:val="00D108E5"/>
    <w:rsid w:val="00D12497"/>
    <w:rsid w:val="00D12AE7"/>
    <w:rsid w:val="00D13870"/>
    <w:rsid w:val="00D14844"/>
    <w:rsid w:val="00D159D3"/>
    <w:rsid w:val="00D15ED5"/>
    <w:rsid w:val="00D17813"/>
    <w:rsid w:val="00D1786B"/>
    <w:rsid w:val="00D21D23"/>
    <w:rsid w:val="00D232C6"/>
    <w:rsid w:val="00D235A1"/>
    <w:rsid w:val="00D27394"/>
    <w:rsid w:val="00D278AC"/>
    <w:rsid w:val="00D30041"/>
    <w:rsid w:val="00D30484"/>
    <w:rsid w:val="00D31142"/>
    <w:rsid w:val="00D311EF"/>
    <w:rsid w:val="00D316B2"/>
    <w:rsid w:val="00D3200F"/>
    <w:rsid w:val="00D34D5B"/>
    <w:rsid w:val="00D37EDC"/>
    <w:rsid w:val="00D400EC"/>
    <w:rsid w:val="00D40644"/>
    <w:rsid w:val="00D40C60"/>
    <w:rsid w:val="00D42A53"/>
    <w:rsid w:val="00D44100"/>
    <w:rsid w:val="00D44C6C"/>
    <w:rsid w:val="00D4533C"/>
    <w:rsid w:val="00D45382"/>
    <w:rsid w:val="00D45A1B"/>
    <w:rsid w:val="00D45D21"/>
    <w:rsid w:val="00D53745"/>
    <w:rsid w:val="00D53BC1"/>
    <w:rsid w:val="00D54A4A"/>
    <w:rsid w:val="00D552AD"/>
    <w:rsid w:val="00D55E55"/>
    <w:rsid w:val="00D561D4"/>
    <w:rsid w:val="00D56E7F"/>
    <w:rsid w:val="00D57412"/>
    <w:rsid w:val="00D60B61"/>
    <w:rsid w:val="00D62047"/>
    <w:rsid w:val="00D62FA6"/>
    <w:rsid w:val="00D649B7"/>
    <w:rsid w:val="00D64BB3"/>
    <w:rsid w:val="00D66613"/>
    <w:rsid w:val="00D66796"/>
    <w:rsid w:val="00D67FCF"/>
    <w:rsid w:val="00D71048"/>
    <w:rsid w:val="00D72A2F"/>
    <w:rsid w:val="00D73459"/>
    <w:rsid w:val="00D750A0"/>
    <w:rsid w:val="00D7604D"/>
    <w:rsid w:val="00D76C16"/>
    <w:rsid w:val="00D7777F"/>
    <w:rsid w:val="00D77B40"/>
    <w:rsid w:val="00D820D0"/>
    <w:rsid w:val="00D82553"/>
    <w:rsid w:val="00D82C96"/>
    <w:rsid w:val="00D83F50"/>
    <w:rsid w:val="00D84592"/>
    <w:rsid w:val="00D84BE2"/>
    <w:rsid w:val="00D85163"/>
    <w:rsid w:val="00D90029"/>
    <w:rsid w:val="00D9023F"/>
    <w:rsid w:val="00D91645"/>
    <w:rsid w:val="00D91AFB"/>
    <w:rsid w:val="00D91BC3"/>
    <w:rsid w:val="00D92464"/>
    <w:rsid w:val="00D926D0"/>
    <w:rsid w:val="00D929F3"/>
    <w:rsid w:val="00D92B62"/>
    <w:rsid w:val="00D92D41"/>
    <w:rsid w:val="00D96F44"/>
    <w:rsid w:val="00D9776E"/>
    <w:rsid w:val="00DA02EF"/>
    <w:rsid w:val="00DA1617"/>
    <w:rsid w:val="00DA4791"/>
    <w:rsid w:val="00DA4B64"/>
    <w:rsid w:val="00DA5483"/>
    <w:rsid w:val="00DA5672"/>
    <w:rsid w:val="00DA5AC9"/>
    <w:rsid w:val="00DA68D3"/>
    <w:rsid w:val="00DA74BB"/>
    <w:rsid w:val="00DB0383"/>
    <w:rsid w:val="00DB09CA"/>
    <w:rsid w:val="00DB20C8"/>
    <w:rsid w:val="00DB2BF4"/>
    <w:rsid w:val="00DB560E"/>
    <w:rsid w:val="00DB5A00"/>
    <w:rsid w:val="00DB6A24"/>
    <w:rsid w:val="00DB7B1D"/>
    <w:rsid w:val="00DC02E6"/>
    <w:rsid w:val="00DC031D"/>
    <w:rsid w:val="00DC03C8"/>
    <w:rsid w:val="00DC1DCC"/>
    <w:rsid w:val="00DC2B79"/>
    <w:rsid w:val="00DC2BA2"/>
    <w:rsid w:val="00DC3B93"/>
    <w:rsid w:val="00DC3C51"/>
    <w:rsid w:val="00DC3DC1"/>
    <w:rsid w:val="00DC4B9B"/>
    <w:rsid w:val="00DC6747"/>
    <w:rsid w:val="00DC68FB"/>
    <w:rsid w:val="00DC7AB2"/>
    <w:rsid w:val="00DC7FDB"/>
    <w:rsid w:val="00DD08D3"/>
    <w:rsid w:val="00DD4171"/>
    <w:rsid w:val="00DD488A"/>
    <w:rsid w:val="00DD5E9D"/>
    <w:rsid w:val="00DD6A38"/>
    <w:rsid w:val="00DD769D"/>
    <w:rsid w:val="00DD786D"/>
    <w:rsid w:val="00DD78F0"/>
    <w:rsid w:val="00DE0019"/>
    <w:rsid w:val="00DE0503"/>
    <w:rsid w:val="00DE0C78"/>
    <w:rsid w:val="00DE0CF0"/>
    <w:rsid w:val="00DE1329"/>
    <w:rsid w:val="00DE284E"/>
    <w:rsid w:val="00DE3879"/>
    <w:rsid w:val="00DE4185"/>
    <w:rsid w:val="00DE4493"/>
    <w:rsid w:val="00DE46D4"/>
    <w:rsid w:val="00DE4CA4"/>
    <w:rsid w:val="00DE4DEB"/>
    <w:rsid w:val="00DE5727"/>
    <w:rsid w:val="00DE5A26"/>
    <w:rsid w:val="00DE5C1C"/>
    <w:rsid w:val="00DF0E21"/>
    <w:rsid w:val="00DF1A13"/>
    <w:rsid w:val="00DF4B25"/>
    <w:rsid w:val="00DF54FB"/>
    <w:rsid w:val="00DF58CC"/>
    <w:rsid w:val="00DF6097"/>
    <w:rsid w:val="00DF6330"/>
    <w:rsid w:val="00DF672E"/>
    <w:rsid w:val="00DF6C74"/>
    <w:rsid w:val="00E00932"/>
    <w:rsid w:val="00E0128F"/>
    <w:rsid w:val="00E01860"/>
    <w:rsid w:val="00E020CA"/>
    <w:rsid w:val="00E02859"/>
    <w:rsid w:val="00E02B9F"/>
    <w:rsid w:val="00E0327A"/>
    <w:rsid w:val="00E03499"/>
    <w:rsid w:val="00E0413E"/>
    <w:rsid w:val="00E05C62"/>
    <w:rsid w:val="00E07C1C"/>
    <w:rsid w:val="00E07FC7"/>
    <w:rsid w:val="00E117FC"/>
    <w:rsid w:val="00E14703"/>
    <w:rsid w:val="00E16292"/>
    <w:rsid w:val="00E16320"/>
    <w:rsid w:val="00E16F22"/>
    <w:rsid w:val="00E17990"/>
    <w:rsid w:val="00E202C1"/>
    <w:rsid w:val="00E20B4D"/>
    <w:rsid w:val="00E21EDF"/>
    <w:rsid w:val="00E2255A"/>
    <w:rsid w:val="00E22D36"/>
    <w:rsid w:val="00E2339A"/>
    <w:rsid w:val="00E248CD"/>
    <w:rsid w:val="00E24EEF"/>
    <w:rsid w:val="00E25143"/>
    <w:rsid w:val="00E25A20"/>
    <w:rsid w:val="00E260F9"/>
    <w:rsid w:val="00E272A6"/>
    <w:rsid w:val="00E274DF"/>
    <w:rsid w:val="00E2778E"/>
    <w:rsid w:val="00E30E0B"/>
    <w:rsid w:val="00E3146A"/>
    <w:rsid w:val="00E32CBE"/>
    <w:rsid w:val="00E32D55"/>
    <w:rsid w:val="00E33834"/>
    <w:rsid w:val="00E33A90"/>
    <w:rsid w:val="00E33BB4"/>
    <w:rsid w:val="00E341E3"/>
    <w:rsid w:val="00E34BDB"/>
    <w:rsid w:val="00E34E1B"/>
    <w:rsid w:val="00E35EF8"/>
    <w:rsid w:val="00E36194"/>
    <w:rsid w:val="00E36DB5"/>
    <w:rsid w:val="00E403F8"/>
    <w:rsid w:val="00E40971"/>
    <w:rsid w:val="00E40D06"/>
    <w:rsid w:val="00E41C84"/>
    <w:rsid w:val="00E41CC4"/>
    <w:rsid w:val="00E43EC9"/>
    <w:rsid w:val="00E459A1"/>
    <w:rsid w:val="00E46E3A"/>
    <w:rsid w:val="00E50641"/>
    <w:rsid w:val="00E506C9"/>
    <w:rsid w:val="00E508CA"/>
    <w:rsid w:val="00E5169E"/>
    <w:rsid w:val="00E522F5"/>
    <w:rsid w:val="00E5567E"/>
    <w:rsid w:val="00E57679"/>
    <w:rsid w:val="00E57918"/>
    <w:rsid w:val="00E60028"/>
    <w:rsid w:val="00E61CEE"/>
    <w:rsid w:val="00E62331"/>
    <w:rsid w:val="00E62605"/>
    <w:rsid w:val="00E6265A"/>
    <w:rsid w:val="00E6340D"/>
    <w:rsid w:val="00E638EF"/>
    <w:rsid w:val="00E64187"/>
    <w:rsid w:val="00E66312"/>
    <w:rsid w:val="00E723A5"/>
    <w:rsid w:val="00E737F6"/>
    <w:rsid w:val="00E7420F"/>
    <w:rsid w:val="00E748AA"/>
    <w:rsid w:val="00E751CD"/>
    <w:rsid w:val="00E754CB"/>
    <w:rsid w:val="00E76C9A"/>
    <w:rsid w:val="00E8032E"/>
    <w:rsid w:val="00E80D1D"/>
    <w:rsid w:val="00E8301F"/>
    <w:rsid w:val="00E852D1"/>
    <w:rsid w:val="00E85334"/>
    <w:rsid w:val="00E8580D"/>
    <w:rsid w:val="00E86323"/>
    <w:rsid w:val="00E864B7"/>
    <w:rsid w:val="00E871C7"/>
    <w:rsid w:val="00E87968"/>
    <w:rsid w:val="00E87D9E"/>
    <w:rsid w:val="00E90F39"/>
    <w:rsid w:val="00E9315D"/>
    <w:rsid w:val="00E934D7"/>
    <w:rsid w:val="00E938D7"/>
    <w:rsid w:val="00E94AFE"/>
    <w:rsid w:val="00E9502A"/>
    <w:rsid w:val="00E9643A"/>
    <w:rsid w:val="00E96641"/>
    <w:rsid w:val="00E9688D"/>
    <w:rsid w:val="00E968A7"/>
    <w:rsid w:val="00E97058"/>
    <w:rsid w:val="00E97F5B"/>
    <w:rsid w:val="00EA1CBC"/>
    <w:rsid w:val="00EA1D2A"/>
    <w:rsid w:val="00EA1E46"/>
    <w:rsid w:val="00EA1F1F"/>
    <w:rsid w:val="00EA3470"/>
    <w:rsid w:val="00EA40AC"/>
    <w:rsid w:val="00EA5202"/>
    <w:rsid w:val="00EA6C88"/>
    <w:rsid w:val="00EA7409"/>
    <w:rsid w:val="00EB0174"/>
    <w:rsid w:val="00EB03A7"/>
    <w:rsid w:val="00EB0EC6"/>
    <w:rsid w:val="00EB1A2E"/>
    <w:rsid w:val="00EB2E20"/>
    <w:rsid w:val="00EB3150"/>
    <w:rsid w:val="00EB56A1"/>
    <w:rsid w:val="00EB6924"/>
    <w:rsid w:val="00EB6B47"/>
    <w:rsid w:val="00EB7A8F"/>
    <w:rsid w:val="00EB7FB9"/>
    <w:rsid w:val="00EC1B62"/>
    <w:rsid w:val="00EC4904"/>
    <w:rsid w:val="00EC4AB5"/>
    <w:rsid w:val="00EC5255"/>
    <w:rsid w:val="00EC7895"/>
    <w:rsid w:val="00EC7945"/>
    <w:rsid w:val="00ED0133"/>
    <w:rsid w:val="00ED3444"/>
    <w:rsid w:val="00ED3722"/>
    <w:rsid w:val="00ED4402"/>
    <w:rsid w:val="00ED461F"/>
    <w:rsid w:val="00ED4F64"/>
    <w:rsid w:val="00ED6113"/>
    <w:rsid w:val="00ED646F"/>
    <w:rsid w:val="00ED6DBB"/>
    <w:rsid w:val="00ED6F33"/>
    <w:rsid w:val="00EE0361"/>
    <w:rsid w:val="00EE0C23"/>
    <w:rsid w:val="00EE0F07"/>
    <w:rsid w:val="00EE33AB"/>
    <w:rsid w:val="00EE3433"/>
    <w:rsid w:val="00EE3C23"/>
    <w:rsid w:val="00EE4439"/>
    <w:rsid w:val="00EE5532"/>
    <w:rsid w:val="00EE72E1"/>
    <w:rsid w:val="00EE75FE"/>
    <w:rsid w:val="00EF0528"/>
    <w:rsid w:val="00EF06DF"/>
    <w:rsid w:val="00EF1665"/>
    <w:rsid w:val="00EF1DFC"/>
    <w:rsid w:val="00EF1EEC"/>
    <w:rsid w:val="00EF456D"/>
    <w:rsid w:val="00EF4D18"/>
    <w:rsid w:val="00EF5509"/>
    <w:rsid w:val="00EF573C"/>
    <w:rsid w:val="00EF5A4E"/>
    <w:rsid w:val="00EF5F8E"/>
    <w:rsid w:val="00EF5FEB"/>
    <w:rsid w:val="00F00391"/>
    <w:rsid w:val="00F00401"/>
    <w:rsid w:val="00F0190A"/>
    <w:rsid w:val="00F02BDB"/>
    <w:rsid w:val="00F034E5"/>
    <w:rsid w:val="00F03CDF"/>
    <w:rsid w:val="00F06E61"/>
    <w:rsid w:val="00F0747A"/>
    <w:rsid w:val="00F1007A"/>
    <w:rsid w:val="00F102B0"/>
    <w:rsid w:val="00F116A5"/>
    <w:rsid w:val="00F136A7"/>
    <w:rsid w:val="00F14529"/>
    <w:rsid w:val="00F14C07"/>
    <w:rsid w:val="00F151E3"/>
    <w:rsid w:val="00F1662E"/>
    <w:rsid w:val="00F17DFD"/>
    <w:rsid w:val="00F2041E"/>
    <w:rsid w:val="00F205B1"/>
    <w:rsid w:val="00F20E7B"/>
    <w:rsid w:val="00F21325"/>
    <w:rsid w:val="00F21501"/>
    <w:rsid w:val="00F21896"/>
    <w:rsid w:val="00F21903"/>
    <w:rsid w:val="00F2261C"/>
    <w:rsid w:val="00F22B7F"/>
    <w:rsid w:val="00F249F2"/>
    <w:rsid w:val="00F2576D"/>
    <w:rsid w:val="00F27711"/>
    <w:rsid w:val="00F27F9B"/>
    <w:rsid w:val="00F30383"/>
    <w:rsid w:val="00F31654"/>
    <w:rsid w:val="00F31A4F"/>
    <w:rsid w:val="00F31CFC"/>
    <w:rsid w:val="00F3207C"/>
    <w:rsid w:val="00F32160"/>
    <w:rsid w:val="00F33154"/>
    <w:rsid w:val="00F3395E"/>
    <w:rsid w:val="00F344AA"/>
    <w:rsid w:val="00F344F8"/>
    <w:rsid w:val="00F34B03"/>
    <w:rsid w:val="00F36D94"/>
    <w:rsid w:val="00F37745"/>
    <w:rsid w:val="00F378E8"/>
    <w:rsid w:val="00F37FE2"/>
    <w:rsid w:val="00F4024D"/>
    <w:rsid w:val="00F40D21"/>
    <w:rsid w:val="00F41186"/>
    <w:rsid w:val="00F41574"/>
    <w:rsid w:val="00F41BBB"/>
    <w:rsid w:val="00F41DB7"/>
    <w:rsid w:val="00F42FDE"/>
    <w:rsid w:val="00F43CA7"/>
    <w:rsid w:val="00F43D3A"/>
    <w:rsid w:val="00F4740D"/>
    <w:rsid w:val="00F47A35"/>
    <w:rsid w:val="00F47E66"/>
    <w:rsid w:val="00F505DA"/>
    <w:rsid w:val="00F509A3"/>
    <w:rsid w:val="00F50F78"/>
    <w:rsid w:val="00F524AB"/>
    <w:rsid w:val="00F551F3"/>
    <w:rsid w:val="00F55C30"/>
    <w:rsid w:val="00F60735"/>
    <w:rsid w:val="00F61F20"/>
    <w:rsid w:val="00F626EE"/>
    <w:rsid w:val="00F629D9"/>
    <w:rsid w:val="00F63698"/>
    <w:rsid w:val="00F638AC"/>
    <w:rsid w:val="00F63924"/>
    <w:rsid w:val="00F64B3F"/>
    <w:rsid w:val="00F64FC7"/>
    <w:rsid w:val="00F65289"/>
    <w:rsid w:val="00F654FD"/>
    <w:rsid w:val="00F65993"/>
    <w:rsid w:val="00F66C2C"/>
    <w:rsid w:val="00F67236"/>
    <w:rsid w:val="00F707AA"/>
    <w:rsid w:val="00F70CCD"/>
    <w:rsid w:val="00F710F1"/>
    <w:rsid w:val="00F721E9"/>
    <w:rsid w:val="00F73808"/>
    <w:rsid w:val="00F742DF"/>
    <w:rsid w:val="00F7670A"/>
    <w:rsid w:val="00F768CC"/>
    <w:rsid w:val="00F7749C"/>
    <w:rsid w:val="00F77686"/>
    <w:rsid w:val="00F802D9"/>
    <w:rsid w:val="00F80914"/>
    <w:rsid w:val="00F81F2E"/>
    <w:rsid w:val="00F821CE"/>
    <w:rsid w:val="00F8529B"/>
    <w:rsid w:val="00F85A78"/>
    <w:rsid w:val="00F85C5A"/>
    <w:rsid w:val="00F868BD"/>
    <w:rsid w:val="00F86C2B"/>
    <w:rsid w:val="00F87761"/>
    <w:rsid w:val="00F902E2"/>
    <w:rsid w:val="00F907E6"/>
    <w:rsid w:val="00F9081F"/>
    <w:rsid w:val="00F90B62"/>
    <w:rsid w:val="00F90FDB"/>
    <w:rsid w:val="00F9279D"/>
    <w:rsid w:val="00F92C52"/>
    <w:rsid w:val="00F92FF3"/>
    <w:rsid w:val="00F94607"/>
    <w:rsid w:val="00F9483F"/>
    <w:rsid w:val="00F95489"/>
    <w:rsid w:val="00F95BF5"/>
    <w:rsid w:val="00F95FC9"/>
    <w:rsid w:val="00F96DB8"/>
    <w:rsid w:val="00F976A6"/>
    <w:rsid w:val="00F9782C"/>
    <w:rsid w:val="00F9785E"/>
    <w:rsid w:val="00F97A70"/>
    <w:rsid w:val="00FA03E0"/>
    <w:rsid w:val="00FA1F7C"/>
    <w:rsid w:val="00FA23DB"/>
    <w:rsid w:val="00FA2858"/>
    <w:rsid w:val="00FA4EF5"/>
    <w:rsid w:val="00FA654D"/>
    <w:rsid w:val="00FA654F"/>
    <w:rsid w:val="00FA65E4"/>
    <w:rsid w:val="00FA6B4F"/>
    <w:rsid w:val="00FB16B1"/>
    <w:rsid w:val="00FB2BBD"/>
    <w:rsid w:val="00FB33D6"/>
    <w:rsid w:val="00FB34E8"/>
    <w:rsid w:val="00FB44A2"/>
    <w:rsid w:val="00FB457C"/>
    <w:rsid w:val="00FB4843"/>
    <w:rsid w:val="00FB4850"/>
    <w:rsid w:val="00FB63FF"/>
    <w:rsid w:val="00FB64D9"/>
    <w:rsid w:val="00FB65E8"/>
    <w:rsid w:val="00FB6D37"/>
    <w:rsid w:val="00FB71AC"/>
    <w:rsid w:val="00FB74E4"/>
    <w:rsid w:val="00FC0098"/>
    <w:rsid w:val="00FC1886"/>
    <w:rsid w:val="00FC1A68"/>
    <w:rsid w:val="00FC245F"/>
    <w:rsid w:val="00FC3E80"/>
    <w:rsid w:val="00FC4BB6"/>
    <w:rsid w:val="00FC5A81"/>
    <w:rsid w:val="00FC76DC"/>
    <w:rsid w:val="00FC7D92"/>
    <w:rsid w:val="00FD17CD"/>
    <w:rsid w:val="00FD2153"/>
    <w:rsid w:val="00FD2282"/>
    <w:rsid w:val="00FD3EE4"/>
    <w:rsid w:val="00FD40D8"/>
    <w:rsid w:val="00FD43F3"/>
    <w:rsid w:val="00FD4ACA"/>
    <w:rsid w:val="00FD4BFC"/>
    <w:rsid w:val="00FE0A7A"/>
    <w:rsid w:val="00FE18A9"/>
    <w:rsid w:val="00FE33E8"/>
    <w:rsid w:val="00FE380C"/>
    <w:rsid w:val="00FE4481"/>
    <w:rsid w:val="00FE4516"/>
    <w:rsid w:val="00FE48F5"/>
    <w:rsid w:val="00FE553A"/>
    <w:rsid w:val="00FE5CDC"/>
    <w:rsid w:val="00FE642C"/>
    <w:rsid w:val="00FE6F0F"/>
    <w:rsid w:val="00FE782C"/>
    <w:rsid w:val="00FF0DBD"/>
    <w:rsid w:val="00FF1361"/>
    <w:rsid w:val="00FF6ED8"/>
    <w:rsid w:val="00FF7C0E"/>
    <w:rsid w:val="00FF7FCD"/>
    <w:rsid w:val="01C191DB"/>
    <w:rsid w:val="01F5D262"/>
    <w:rsid w:val="0C73FAE1"/>
    <w:rsid w:val="0DECEDF8"/>
    <w:rsid w:val="0EB92427"/>
    <w:rsid w:val="1204C9E7"/>
    <w:rsid w:val="124E55B9"/>
    <w:rsid w:val="1388836D"/>
    <w:rsid w:val="15BD3EFB"/>
    <w:rsid w:val="197BFFAA"/>
    <w:rsid w:val="1BA7160F"/>
    <w:rsid w:val="1E9D2F9B"/>
    <w:rsid w:val="2DD5EB49"/>
    <w:rsid w:val="32241BBE"/>
    <w:rsid w:val="32AA7530"/>
    <w:rsid w:val="32E289D8"/>
    <w:rsid w:val="3322F009"/>
    <w:rsid w:val="33647C5C"/>
    <w:rsid w:val="33C84EE9"/>
    <w:rsid w:val="370971D7"/>
    <w:rsid w:val="37521CF0"/>
    <w:rsid w:val="37ACF735"/>
    <w:rsid w:val="3BA48A4B"/>
    <w:rsid w:val="3C273C3C"/>
    <w:rsid w:val="44C9B1B2"/>
    <w:rsid w:val="4610F629"/>
    <w:rsid w:val="4A9612C7"/>
    <w:rsid w:val="579F9117"/>
    <w:rsid w:val="5EF2B20B"/>
    <w:rsid w:val="60B32BCE"/>
    <w:rsid w:val="61CBBA92"/>
    <w:rsid w:val="631F5A63"/>
    <w:rsid w:val="651E6535"/>
    <w:rsid w:val="66A58302"/>
    <w:rsid w:val="6989C358"/>
    <w:rsid w:val="6A6957B3"/>
    <w:rsid w:val="70AD3641"/>
    <w:rsid w:val="78526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A93B"/>
  <w15:docId w15:val="{8BAF9CF2-E9DF-43EB-ADED-528E347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2A"/>
    <w:pPr>
      <w:spacing w:after="140" w:line="249" w:lineRule="auto"/>
      <w:ind w:left="569" w:hanging="569"/>
      <w:jc w:val="both"/>
    </w:pPr>
    <w:rPr>
      <w:rFonts w:ascii="Verdana" w:eastAsia="Verdana" w:hAnsi="Verdana" w:cs="Verdana"/>
      <w:color w:val="000000"/>
      <w:sz w:val="22"/>
    </w:rPr>
  </w:style>
  <w:style w:type="paragraph" w:styleId="Heading1">
    <w:name w:val="heading 1"/>
    <w:next w:val="Normal"/>
    <w:link w:val="Heading1Char"/>
    <w:uiPriority w:val="9"/>
    <w:qFormat/>
    <w:pPr>
      <w:keepNext/>
      <w:keepLines/>
      <w:spacing w:after="84" w:line="259" w:lineRule="auto"/>
      <w:ind w:left="10" w:hanging="10"/>
      <w:outlineLvl w:val="0"/>
    </w:pPr>
    <w:rPr>
      <w:rFonts w:ascii="Verdana" w:eastAsia="Verdana" w:hAnsi="Verdana" w:cs="Verdana"/>
      <w:b/>
      <w:color w:val="000000"/>
      <w:sz w:val="26"/>
    </w:rPr>
  </w:style>
  <w:style w:type="paragraph" w:styleId="Heading2">
    <w:name w:val="heading 2"/>
    <w:next w:val="Normal"/>
    <w:link w:val="Heading2Char"/>
    <w:uiPriority w:val="9"/>
    <w:unhideWhenUsed/>
    <w:qFormat/>
    <w:pPr>
      <w:keepNext/>
      <w:keepLines/>
      <w:spacing w:after="142" w:line="249" w:lineRule="auto"/>
      <w:ind w:left="10" w:hanging="10"/>
      <w:outlineLvl w:val="1"/>
    </w:pPr>
    <w:rPr>
      <w:rFonts w:ascii="Verdana" w:eastAsia="Verdana" w:hAnsi="Verdana" w:cs="Verdana"/>
      <w:b/>
      <w:color w:val="000000"/>
      <w:sz w:val="22"/>
    </w:rPr>
  </w:style>
  <w:style w:type="paragraph" w:styleId="Heading3">
    <w:name w:val="heading 3"/>
    <w:next w:val="Normal"/>
    <w:link w:val="Heading3Char"/>
    <w:uiPriority w:val="9"/>
    <w:unhideWhenUsed/>
    <w:qFormat/>
    <w:pPr>
      <w:keepNext/>
      <w:keepLines/>
      <w:spacing w:after="224" w:line="259" w:lineRule="auto"/>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142" w:line="249" w:lineRule="auto"/>
      <w:ind w:left="10" w:hanging="10"/>
      <w:outlineLvl w:val="3"/>
    </w:pPr>
    <w:rPr>
      <w:rFonts w:ascii="Verdana" w:eastAsia="Verdana" w:hAnsi="Verdana" w:cs="Verdana"/>
      <w:b/>
      <w:color w:val="000000"/>
      <w:sz w:val="22"/>
    </w:rPr>
  </w:style>
  <w:style w:type="paragraph" w:styleId="Heading5">
    <w:name w:val="heading 5"/>
    <w:next w:val="Normal"/>
    <w:link w:val="Heading5Char"/>
    <w:uiPriority w:val="9"/>
    <w:unhideWhenUsed/>
    <w:qFormat/>
    <w:pPr>
      <w:keepNext/>
      <w:keepLines/>
      <w:spacing w:after="142" w:line="249" w:lineRule="auto"/>
      <w:ind w:left="10" w:hanging="10"/>
      <w:outlineLvl w:val="4"/>
    </w:pPr>
    <w:rPr>
      <w:rFonts w:ascii="Verdana" w:eastAsia="Verdana" w:hAnsi="Verdana" w:cs="Verdana"/>
      <w:b/>
      <w:color w:val="000000"/>
      <w:sz w:val="22"/>
    </w:rPr>
  </w:style>
  <w:style w:type="paragraph" w:styleId="Heading6">
    <w:name w:val="heading 6"/>
    <w:next w:val="Normal"/>
    <w:link w:val="Heading6Char"/>
    <w:uiPriority w:val="9"/>
    <w:unhideWhenUsed/>
    <w:qFormat/>
    <w:pPr>
      <w:keepNext/>
      <w:keepLines/>
      <w:spacing w:after="142" w:line="249" w:lineRule="auto"/>
      <w:ind w:left="10" w:hanging="10"/>
      <w:outlineLvl w:val="5"/>
    </w:pPr>
    <w:rPr>
      <w:rFonts w:ascii="Verdana" w:eastAsia="Verdana" w:hAnsi="Verdana" w:cs="Verdan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59" w:lineRule="auto"/>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Heading3Char">
    <w:name w:val="Heading 3 Char"/>
    <w:link w:val="Heading3"/>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b/>
      <w:color w:val="000000"/>
      <w:sz w:val="22"/>
    </w:rPr>
  </w:style>
  <w:style w:type="character" w:customStyle="1" w:styleId="Heading5Char">
    <w:name w:val="Heading 5 Char"/>
    <w:link w:val="Heading5"/>
    <w:rPr>
      <w:rFonts w:ascii="Verdana" w:eastAsia="Verdana" w:hAnsi="Verdana" w:cs="Verdana"/>
      <w:b/>
      <w:color w:val="000000"/>
      <w:sz w:val="22"/>
    </w:rPr>
  </w:style>
  <w:style w:type="character" w:customStyle="1" w:styleId="Heading6Char">
    <w:name w:val="Heading 6 Char"/>
    <w:link w:val="Heading6"/>
    <w:rPr>
      <w:rFonts w:ascii="Verdana" w:eastAsia="Verdana" w:hAnsi="Verdana" w:cs="Verdana"/>
      <w:b/>
      <w:color w:val="000000"/>
      <w:sz w:val="22"/>
    </w:rPr>
  </w:style>
  <w:style w:type="character" w:customStyle="1" w:styleId="footnotemark">
    <w:name w:val="footnote mark"/>
    <w:hidden/>
    <w:rPr>
      <w:rFonts w:ascii="Verdana" w:eastAsia="Verdana" w:hAnsi="Verdana" w:cs="Verdana"/>
      <w:color w:val="000000"/>
      <w:sz w:val="16"/>
      <w:vertAlign w:val="superscript"/>
    </w:rPr>
  </w:style>
  <w:style w:type="paragraph" w:styleId="Revision">
    <w:name w:val="Revision"/>
    <w:hidden/>
    <w:uiPriority w:val="99"/>
    <w:semiHidden/>
    <w:rsid w:val="00107B0C"/>
    <w:pPr>
      <w:spacing w:after="0" w:line="240" w:lineRule="auto"/>
    </w:pPr>
    <w:rPr>
      <w:rFonts w:ascii="Verdana" w:eastAsia="Verdana" w:hAnsi="Verdana" w:cs="Verdana"/>
      <w:color w:val="000000"/>
      <w:sz w:val="22"/>
    </w:rPr>
  </w:style>
  <w:style w:type="character" w:styleId="Hyperlink">
    <w:name w:val="Hyperlink"/>
    <w:basedOn w:val="DefaultParagraphFont"/>
    <w:uiPriority w:val="99"/>
    <w:unhideWhenUsed/>
    <w:rsid w:val="006B064E"/>
    <w:rPr>
      <w:color w:val="467886" w:themeColor="hyperlink"/>
      <w:u w:val="single"/>
    </w:rPr>
  </w:style>
  <w:style w:type="character" w:styleId="UnresolvedMention">
    <w:name w:val="Unresolved Mention"/>
    <w:basedOn w:val="DefaultParagraphFont"/>
    <w:uiPriority w:val="99"/>
    <w:semiHidden/>
    <w:unhideWhenUsed/>
    <w:rsid w:val="006B064E"/>
    <w:rPr>
      <w:color w:val="605E5C"/>
      <w:shd w:val="clear" w:color="auto" w:fill="E1DFDD"/>
    </w:rPr>
  </w:style>
  <w:style w:type="character" w:styleId="CommentReference">
    <w:name w:val="annotation reference"/>
    <w:basedOn w:val="DefaultParagraphFont"/>
    <w:uiPriority w:val="99"/>
    <w:semiHidden/>
    <w:unhideWhenUsed/>
    <w:rsid w:val="00536CDC"/>
    <w:rPr>
      <w:sz w:val="16"/>
      <w:szCs w:val="16"/>
    </w:rPr>
  </w:style>
  <w:style w:type="paragraph" w:styleId="CommentText">
    <w:name w:val="annotation text"/>
    <w:basedOn w:val="Normal"/>
    <w:link w:val="CommentTextChar"/>
    <w:uiPriority w:val="99"/>
    <w:unhideWhenUsed/>
    <w:rsid w:val="00536CDC"/>
    <w:pPr>
      <w:spacing w:line="240" w:lineRule="auto"/>
    </w:pPr>
    <w:rPr>
      <w:sz w:val="20"/>
      <w:szCs w:val="20"/>
    </w:rPr>
  </w:style>
  <w:style w:type="character" w:customStyle="1" w:styleId="CommentTextChar">
    <w:name w:val="Comment Text Char"/>
    <w:basedOn w:val="DefaultParagraphFont"/>
    <w:link w:val="CommentText"/>
    <w:uiPriority w:val="99"/>
    <w:rsid w:val="00536CD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536CDC"/>
    <w:rPr>
      <w:b/>
      <w:bCs/>
    </w:rPr>
  </w:style>
  <w:style w:type="character" w:customStyle="1" w:styleId="CommentSubjectChar">
    <w:name w:val="Comment Subject Char"/>
    <w:basedOn w:val="CommentTextChar"/>
    <w:link w:val="CommentSubject"/>
    <w:uiPriority w:val="99"/>
    <w:semiHidden/>
    <w:rsid w:val="00536CDC"/>
    <w:rPr>
      <w:rFonts w:ascii="Verdana" w:eastAsia="Verdana" w:hAnsi="Verdana" w:cs="Verdana"/>
      <w:b/>
      <w:bCs/>
      <w:color w:val="000000"/>
      <w:sz w:val="20"/>
      <w:szCs w:val="20"/>
    </w:rPr>
  </w:style>
  <w:style w:type="character" w:styleId="Mention">
    <w:name w:val="Mention"/>
    <w:basedOn w:val="DefaultParagraphFont"/>
    <w:uiPriority w:val="99"/>
    <w:unhideWhenUsed/>
    <w:rsid w:val="00536CDC"/>
    <w:rPr>
      <w:color w:val="2B579A"/>
      <w:shd w:val="clear" w:color="auto" w:fill="E1DFDD"/>
    </w:rPr>
  </w:style>
  <w:style w:type="paragraph" w:styleId="ListParagraph">
    <w:name w:val="List Paragraph"/>
    <w:basedOn w:val="Normal"/>
    <w:uiPriority w:val="34"/>
    <w:qFormat/>
    <w:rsid w:val="00EB7FB9"/>
    <w:pPr>
      <w:ind w:left="720"/>
      <w:contextualSpacing/>
    </w:pPr>
  </w:style>
  <w:style w:type="paragraph" w:styleId="Header">
    <w:name w:val="header"/>
    <w:basedOn w:val="Normal"/>
    <w:link w:val="HeaderChar"/>
    <w:uiPriority w:val="99"/>
    <w:unhideWhenUsed/>
    <w:rsid w:val="0036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2E"/>
    <w:rPr>
      <w:rFonts w:ascii="Verdana" w:eastAsia="Verdana" w:hAnsi="Verdana" w:cs="Verdana"/>
      <w:color w:val="000000"/>
      <w:sz w:val="22"/>
    </w:rPr>
  </w:style>
  <w:style w:type="paragraph" w:styleId="Footer">
    <w:name w:val="footer"/>
    <w:basedOn w:val="Normal"/>
    <w:link w:val="FooterChar"/>
    <w:uiPriority w:val="99"/>
    <w:semiHidden/>
    <w:unhideWhenUsed/>
    <w:rsid w:val="00361B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62E"/>
    <w:rPr>
      <w:rFonts w:ascii="Verdana" w:eastAsia="Verdana" w:hAnsi="Verdana" w:cs="Verdana"/>
      <w:color w:val="000000"/>
      <w:sz w:val="22"/>
    </w:rPr>
  </w:style>
  <w:style w:type="table" w:customStyle="1" w:styleId="TableGrid1">
    <w:name w:val="Table Grid1"/>
    <w:rsid w:val="007C2C5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261E57"/>
    <w:rPr>
      <w:color w:val="666666"/>
    </w:rPr>
  </w:style>
  <w:style w:type="paragraph" w:styleId="FootnoteText">
    <w:name w:val="footnote text"/>
    <w:basedOn w:val="Normal"/>
    <w:link w:val="FootnoteTextChar"/>
    <w:uiPriority w:val="99"/>
    <w:semiHidden/>
    <w:unhideWhenUsed/>
    <w:rsid w:val="00FE6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F0F"/>
    <w:rPr>
      <w:rFonts w:ascii="Verdana" w:eastAsia="Verdana" w:hAnsi="Verdana" w:cs="Verdana"/>
      <w:color w:val="000000"/>
      <w:sz w:val="20"/>
      <w:szCs w:val="20"/>
    </w:rPr>
  </w:style>
  <w:style w:type="character" w:styleId="FootnoteReference">
    <w:name w:val="footnote reference"/>
    <w:basedOn w:val="DefaultParagraphFont"/>
    <w:uiPriority w:val="99"/>
    <w:semiHidden/>
    <w:unhideWhenUsed/>
    <w:rsid w:val="00FE6F0F"/>
    <w:rPr>
      <w:vertAlign w:val="superscript"/>
    </w:rPr>
  </w:style>
  <w:style w:type="character" w:styleId="LineNumber">
    <w:name w:val="line number"/>
    <w:basedOn w:val="DefaultParagraphFont"/>
    <w:uiPriority w:val="99"/>
    <w:semiHidden/>
    <w:unhideWhenUsed/>
    <w:rsid w:val="00FE6F0F"/>
  </w:style>
  <w:style w:type="character" w:styleId="FollowedHyperlink">
    <w:name w:val="FollowedHyperlink"/>
    <w:basedOn w:val="DefaultParagraphFont"/>
    <w:uiPriority w:val="99"/>
    <w:semiHidden/>
    <w:unhideWhenUsed/>
    <w:rsid w:val="00FE6F0F"/>
    <w:rPr>
      <w:color w:val="96607D" w:themeColor="followedHyperlink"/>
      <w:u w:val="single"/>
    </w:rPr>
  </w:style>
  <w:style w:type="paragraph" w:styleId="TOCHeading">
    <w:name w:val="TOC Heading"/>
    <w:basedOn w:val="Heading1"/>
    <w:next w:val="Normal"/>
    <w:uiPriority w:val="39"/>
    <w:unhideWhenUsed/>
    <w:qFormat/>
    <w:rsid w:val="00AE4103"/>
    <w:pPr>
      <w:spacing w:before="240" w:after="0"/>
      <w:ind w:left="0" w:firstLine="0"/>
      <w:outlineLvl w:val="9"/>
    </w:pPr>
    <w:rPr>
      <w:rFonts w:asciiTheme="majorHAnsi" w:eastAsiaTheme="majorEastAsia" w:hAnsiTheme="majorHAnsi" w:cstheme="majorBidi"/>
      <w:b w:val="0"/>
      <w:color w:val="0F4761" w:themeColor="accent1" w:themeShade="BF"/>
      <w:kern w:val="0"/>
      <w:sz w:val="32"/>
      <w:szCs w:val="32"/>
      <w:lang w:eastAsia="en-US"/>
      <w14:ligatures w14:val="none"/>
    </w:rPr>
  </w:style>
  <w:style w:type="paragraph" w:styleId="TOC1">
    <w:name w:val="toc 1"/>
    <w:basedOn w:val="Normal"/>
    <w:next w:val="Normal"/>
    <w:autoRedefine/>
    <w:uiPriority w:val="39"/>
    <w:unhideWhenUsed/>
    <w:rsid w:val="00AF2413"/>
    <w:pPr>
      <w:tabs>
        <w:tab w:val="right" w:leader="dot" w:pos="9842"/>
      </w:tabs>
      <w:spacing w:after="100"/>
      <w:ind w:left="0" w:firstLine="0"/>
    </w:pPr>
  </w:style>
  <w:style w:type="paragraph" w:styleId="TOC3">
    <w:name w:val="toc 3"/>
    <w:basedOn w:val="Normal"/>
    <w:next w:val="Normal"/>
    <w:autoRedefine/>
    <w:uiPriority w:val="39"/>
    <w:unhideWhenUsed/>
    <w:rsid w:val="00AE4103"/>
    <w:pPr>
      <w:spacing w:after="100"/>
      <w:ind w:left="440"/>
    </w:pPr>
  </w:style>
  <w:style w:type="paragraph" w:styleId="TOC2">
    <w:name w:val="toc 2"/>
    <w:basedOn w:val="Normal"/>
    <w:next w:val="Normal"/>
    <w:autoRedefine/>
    <w:uiPriority w:val="39"/>
    <w:unhideWhenUsed/>
    <w:rsid w:val="00D42A5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758">
      <w:bodyDiv w:val="1"/>
      <w:marLeft w:val="0"/>
      <w:marRight w:val="0"/>
      <w:marTop w:val="0"/>
      <w:marBottom w:val="0"/>
      <w:divBdr>
        <w:top w:val="none" w:sz="0" w:space="0" w:color="auto"/>
        <w:left w:val="none" w:sz="0" w:space="0" w:color="auto"/>
        <w:bottom w:val="none" w:sz="0" w:space="0" w:color="auto"/>
        <w:right w:val="none" w:sz="0" w:space="0" w:color="auto"/>
      </w:divBdr>
    </w:div>
    <w:div w:id="355347159">
      <w:bodyDiv w:val="1"/>
      <w:marLeft w:val="0"/>
      <w:marRight w:val="0"/>
      <w:marTop w:val="0"/>
      <w:marBottom w:val="0"/>
      <w:divBdr>
        <w:top w:val="none" w:sz="0" w:space="0" w:color="auto"/>
        <w:left w:val="none" w:sz="0" w:space="0" w:color="auto"/>
        <w:bottom w:val="none" w:sz="0" w:space="0" w:color="auto"/>
        <w:right w:val="none" w:sz="0" w:space="0" w:color="auto"/>
      </w:divBdr>
    </w:div>
    <w:div w:id="594703695">
      <w:bodyDiv w:val="1"/>
      <w:marLeft w:val="0"/>
      <w:marRight w:val="0"/>
      <w:marTop w:val="0"/>
      <w:marBottom w:val="0"/>
      <w:divBdr>
        <w:top w:val="none" w:sz="0" w:space="0" w:color="auto"/>
        <w:left w:val="none" w:sz="0" w:space="0" w:color="auto"/>
        <w:bottom w:val="none" w:sz="0" w:space="0" w:color="auto"/>
        <w:right w:val="none" w:sz="0" w:space="0" w:color="auto"/>
      </w:divBdr>
    </w:div>
    <w:div w:id="616640913">
      <w:bodyDiv w:val="1"/>
      <w:marLeft w:val="0"/>
      <w:marRight w:val="0"/>
      <w:marTop w:val="0"/>
      <w:marBottom w:val="0"/>
      <w:divBdr>
        <w:top w:val="none" w:sz="0" w:space="0" w:color="auto"/>
        <w:left w:val="none" w:sz="0" w:space="0" w:color="auto"/>
        <w:bottom w:val="none" w:sz="0" w:space="0" w:color="auto"/>
        <w:right w:val="none" w:sz="0" w:space="0" w:color="auto"/>
      </w:divBdr>
    </w:div>
    <w:div w:id="634064855">
      <w:bodyDiv w:val="1"/>
      <w:marLeft w:val="0"/>
      <w:marRight w:val="0"/>
      <w:marTop w:val="0"/>
      <w:marBottom w:val="0"/>
      <w:divBdr>
        <w:top w:val="none" w:sz="0" w:space="0" w:color="auto"/>
        <w:left w:val="none" w:sz="0" w:space="0" w:color="auto"/>
        <w:bottom w:val="none" w:sz="0" w:space="0" w:color="auto"/>
        <w:right w:val="none" w:sz="0" w:space="0" w:color="auto"/>
      </w:divBdr>
    </w:div>
    <w:div w:id="1352099217">
      <w:bodyDiv w:val="1"/>
      <w:marLeft w:val="0"/>
      <w:marRight w:val="0"/>
      <w:marTop w:val="0"/>
      <w:marBottom w:val="0"/>
      <w:divBdr>
        <w:top w:val="none" w:sz="0" w:space="0" w:color="auto"/>
        <w:left w:val="none" w:sz="0" w:space="0" w:color="auto"/>
        <w:bottom w:val="none" w:sz="0" w:space="0" w:color="auto"/>
        <w:right w:val="none" w:sz="0" w:space="0" w:color="auto"/>
      </w:divBdr>
    </w:div>
    <w:div w:id="1703749708">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iopa.europa.eu/document/download/3c7759d5-a97a-4bc4-bfae-875c5d460d56_en?filename=Opinion%20on%20the%202020%20review%20of%20Solvency%20II.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data.consilium.europa.eu/doc/document/ST-5481-2024-INIT/en/pdf"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Solvency2@dn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olvency2@dnb.n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PDF/?uri=CELEX:52021DC058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iopa.europa.eu/publications/opinion-20232024-reassessment-nat-cat-standard-formula_en" TargetMode="External"/><Relationship Id="rId3" Type="http://schemas.openxmlformats.org/officeDocument/2006/relationships/hyperlink" Target="https://eur-lex.europa.eu/legal-content/EN/TXT/PDF/?uri=CELEX:52021DC0580" TargetMode="External"/><Relationship Id="rId7" Type="http://schemas.openxmlformats.org/officeDocument/2006/relationships/hyperlink" Target="https://www.eiopa.europa.eu/qa-regulation/questions-and-answers-database/326_en" TargetMode="External"/><Relationship Id="rId2" Type="http://schemas.openxmlformats.org/officeDocument/2006/relationships/hyperlink" Target="https://www.eiopa.europa.eu/document/download/3c7759d5-a97a-4bc4-bfae-875c5d460d56_en?filename=Opinion%20on%20the%202020%20review%20of%20Solvency%20II.pdf" TargetMode="External"/><Relationship Id="rId1" Type="http://schemas.openxmlformats.org/officeDocument/2006/relationships/hyperlink" Target="https://data.consilium.europa.eu/doc/document/PE-5-2024-INIT/en/pdf" TargetMode="External"/><Relationship Id="rId6" Type="http://schemas.openxmlformats.org/officeDocument/2006/relationships/hyperlink" Target="https://www.eiopa.europa.eu/publications/opinion-2020-review-solvency-ii_en" TargetMode="External"/><Relationship Id="rId5" Type="http://schemas.openxmlformats.org/officeDocument/2006/relationships/hyperlink" Target="https://www.eiopa.europa.eu/publications/opinion-2020-review-solvency-ii_en" TargetMode="External"/><Relationship Id="rId4" Type="http://schemas.openxmlformats.org/officeDocument/2006/relationships/hyperlink" Target="https://www.eiopa.europa.eu/browse/regulation-and-policy/solvency-ii/2020-review-solvency-ii/solvency-ii-review-information-request-national-supervisory-authorities_en" TargetMode="External"/><Relationship Id="rId9" Type="http://schemas.openxmlformats.org/officeDocument/2006/relationships/hyperlink" Target="https://www.eiopa.europa.eu/document/download/5ed96239-ccc1-4716-af03-46edd0444bad_en?filename=Background%20analysis.pdf" TargetMode="External"/></Relationships>
</file>

<file path=word/documenttasks/documenttasks1.xml><?xml version="1.0" encoding="utf-8"?>
<t:Tasks xmlns:t="http://schemas.microsoft.com/office/tasks/2019/documenttasks" xmlns:oel="http://schemas.microsoft.com/office/2019/extlst">
  <t:Task id="{2123084D-D01B-4834-8979-08727BD34443}">
    <t:Anchor>
      <t:Comment id="701519149"/>
    </t:Anchor>
    <t:History>
      <t:Event id="{9A14FC9E-518A-49F1-A4E1-AC5D61C47E81}" time="2025-02-11T11:59:36.434Z">
        <t:Attribution userId="S::g.w.j.bonte@dnb.nl::2278822d-a2a6-4751-9c87-c471a5a6059f" userProvider="AD" userName="Bonte, G.W.J. (Gerwen) (TV_ECKA)"/>
        <t:Anchor>
          <t:Comment id="701519149"/>
        </t:Anchor>
        <t:Create/>
      </t:Event>
      <t:Event id="{74CAC135-30FB-43AE-8A32-09A7A763278D}" time="2025-02-11T11:59:36.434Z">
        <t:Attribution userId="S::g.w.j.bonte@dnb.nl::2278822d-a2a6-4751-9c87-c471a5a6059f" userProvider="AD" userName="Bonte, G.W.J. (Gerwen) (TV_ECKA)"/>
        <t:Anchor>
          <t:Comment id="701519149"/>
        </t:Anchor>
        <t:Assign userId="S::L.P.Bakker@dnb.nl::64c981d2-c1d8-4e6d-b4a0-ac6b8cc752d1" userProvider="AD" userName="Bakker, L.P. (Lammert) (TV_ECKA)"/>
      </t:Event>
      <t:Event id="{0C647E6F-F699-46B8-AB8A-CB0A4BB9D4C7}" time="2025-02-11T11:59:36.434Z">
        <t:Attribution userId="S::g.w.j.bonte@dnb.nl::2278822d-a2a6-4751-9c87-c471a5a6059f" userProvider="AD" userName="Bonte, G.W.J. (Gerwen) (TV_ECKA)"/>
        <t:Anchor>
          <t:Comment id="701519149"/>
        </t:Anchor>
        <t:SetTitle title="Waar moeten deze worden beschreven @Bakker, L.P. (Lammert) (TV_ECKA) ?"/>
      </t:Event>
      <t:Event id="{ECAE4423-1AB6-4420-AB38-A3603CC283ED}" time="2025-02-13T10:46:58.568Z">
        <t:Attribution userId="S::g.w.j.bonte@dnb.nl::2278822d-a2a6-4751-9c87-c471a5a6059f" userProvider="AD" userName="Bonte, G.W.J. (Gerwen) (TV_ECK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4F9AFFD9F8E1A1459C48C7D699D38F42" ma:contentTypeVersion="61" ma:contentTypeDescription="Het Content Type “DNB Project Document” is afgeleid van het Content Type “DNB Document”. Het is het standaard document op projectensites. Door de naam van het project, het project ID en een label als metagegeven toe te voegen, kunnen projectdocumenten beter gezocht en gefilterd worden." ma:contentTypeScope="" ma:versionID="39e563d3777b44e9d44acd4de809550e">
  <xsd:schema xmlns:xsd="http://www.w3.org/2001/XMLSchema" xmlns:xs="http://www.w3.org/2001/XMLSchema" xmlns:p="http://schemas.microsoft.com/office/2006/metadata/properties" xmlns:ns1="http://schemas.microsoft.com/sharepoint/v3" xmlns:ns2="http://schemas.dnb.nl/sharepoint" xmlns:ns3="d9eb7c7e-3a87-48dc-a7b7-365e1e85ed01" xmlns:ns5="http://schemas.microsoft.com/sharepoint/v4" xmlns:ns6="ab3431cf-f79d-4377-a0ba-fc459d903c38" targetNamespace="http://schemas.microsoft.com/office/2006/metadata/properties" ma:root="true" ma:fieldsID="8665005bf5824bf01ce81f1d1684dfae" ns1:_="" ns2:_="" ns3:_="" ns5:_="" ns6:_="">
    <xsd:import namespace="http://schemas.microsoft.com/sharepoint/v3"/>
    <xsd:import namespace="http://schemas.dnb.nl/sharepoint"/>
    <xsd:import namespace="d9eb7c7e-3a87-48dc-a7b7-365e1e85ed01"/>
    <xsd:import namespace="http://schemas.microsoft.com/sharepoint/v4"/>
    <xsd:import namespace="ab3431cf-f79d-4377-a0ba-fc459d903c38"/>
    <xsd:element name="properties">
      <xsd:complexType>
        <xsd:sequence>
          <xsd:element name="documentManagement">
            <xsd:complexType>
              <xsd:all>
                <xsd:element ref="ns2:_dlc_DocId" minOccurs="0"/>
                <xsd:element ref="ns2:_dlc_DocIdUrl" minOccurs="0"/>
                <xsd:element ref="ns3:DNB_AuteurFix" minOccurs="0"/>
                <xsd:element ref="ns3:DNB_Ontvanger" minOccurs="0"/>
                <xsd:element ref="ns3:DNB_CCOntvanger" minOccurs="0"/>
                <xsd:element ref="ns3:DNB_Opmerkingen" minOccurs="0"/>
                <xsd:element ref="ns3:DNB_Sjabloon" minOccurs="0"/>
                <xsd:element ref="ns3:DNB_EmTo" minOccurs="0"/>
                <xsd:element ref="ns3:DNB_EmFromName" minOccurs="0"/>
                <xsd:element ref="ns3:DNB_EmCC" minOccurs="0"/>
                <xsd:element ref="ns3:DNB_EmDate" minOccurs="0"/>
                <xsd:element ref="ns3:DNB_EmAttachCount" minOccurs="0"/>
                <xsd:element ref="ns3:DNB_EmAttachmentNames" minOccurs="0"/>
                <xsd:element ref="ns3:DNB_Distributie" minOccurs="0"/>
                <xsd:element ref="ns3:DNB_Projectnaam" minOccurs="0"/>
                <xsd:element ref="ns3:DNB_ProjectId" minOccurs="0"/>
                <xsd:element ref="ns3:DNB_Publiceren" minOccurs="0"/>
                <xsd:element ref="ns3:DNB_Show" minOccurs="0"/>
                <xsd:element ref="ns1:_vti_ItemDeclaredRecord" minOccurs="0"/>
                <xsd:element ref="ns3:m2811a07b6c6fd47188d63596ada41d4" minOccurs="0"/>
                <xsd:element ref="ns3:f416c62b8084a6924c1caabc0cb60db6" minOccurs="0"/>
                <xsd:element ref="ns3:TaxCatchAll" minOccurs="0"/>
                <xsd:element ref="ns5:IconOverlay" minOccurs="0"/>
                <xsd:element ref="ns3:_dlc_DocIdPersistId" minOccurs="0"/>
                <xsd:element ref="ns3:k87fa04bff4d9972ce4710608e39267c" minOccurs="0"/>
                <xsd:element ref="ns3:TaxCatchAllLabel" minOccurs="0"/>
                <xsd:element ref="ns3:lda0e043566dcacd3d66b94d90c3f946" minOccurs="0"/>
                <xsd:element ref="ns6:l48a39acbf4c4b82a146bbbe07a5f7b7" minOccurs="0"/>
                <xsd:element ref="ns1:_vti_ItemHoldRecordStatus" minOccurs="0"/>
                <xsd:element ref="ns3:SharedWithUsers" minOccurs="0"/>
                <xsd:element ref="ns3: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false">
      <xsd:simpleType>
        <xsd:restriction base="dms:DateTime"/>
      </xsd:simpleType>
    </xsd:element>
    <xsd:element name="_vti_ItemHoldRecordStatus" ma:index="4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AuteurFix" ma:index="10"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11"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2"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3" nillable="true" ma:displayName="Remarks" ma:hidden="true" ma:internalName="DNB_Opmerkingen">
      <xsd:simpleType>
        <xsd:restriction base="dms:Note"/>
      </xsd:simpleType>
    </xsd:element>
    <xsd:element name="DNB_Sjabloon" ma:index="14" nillable="true" ma:displayName="Sjabloon" ma:hidden="true" ma:internalName="DNB_Sjabloon">
      <xsd:simpleType>
        <xsd:restriction base="dms:Text"/>
      </xsd:simpleType>
    </xsd:element>
    <xsd:element name="DNB_EmTo" ma:index="15" nillable="true" ma:displayName="E-mail To" ma:hidden="true" ma:internalName="DNB_EmTo">
      <xsd:simpleType>
        <xsd:restriction base="dms:Note">
          <xsd:maxLength value="255"/>
        </xsd:restriction>
      </xsd:simpleType>
    </xsd:element>
    <xsd:element name="DNB_EmFromName" ma:index="16" nillable="true" ma:displayName="E-mail From" ma:hidden="true" ma:internalName="DNB_EmFromName">
      <xsd:simpleType>
        <xsd:restriction base="dms:Text"/>
      </xsd:simpleType>
    </xsd:element>
    <xsd:element name="DNB_EmCC" ma:index="17" nillable="true" ma:displayName="E-mail CC" ma:hidden="true" ma:internalName="DNB_EmCC">
      <xsd:simpleType>
        <xsd:restriction base="dms:Note">
          <xsd:maxLength value="255"/>
        </xsd:restriction>
      </xsd:simpleType>
    </xsd:element>
    <xsd:element name="DNB_EmDate" ma:index="18" nillable="true" ma:displayName="E-mail Date" ma:hidden="true" ma:internalName="DNB_EmDate">
      <xsd:simpleType>
        <xsd:restriction base="dms:DateTime"/>
      </xsd:simpleType>
    </xsd:element>
    <xsd:element name="DNB_EmAttachCount" ma:index="19" nillable="true" ma:displayName="E-mail Attachment Count" ma:hidden="true" ma:internalName="DNB_EmAttachCount">
      <xsd:simpleType>
        <xsd:restriction base="dms:Text"/>
      </xsd:simpleType>
    </xsd:element>
    <xsd:element name="DNB_EmAttachmentNames" ma:index="20" nillable="true" ma:displayName="E-mail Attachment Names" ma:hidden="true" ma:internalName="DNB_EmAttachmentNames">
      <xsd:simpleType>
        <xsd:restriction base="dms:Note">
          <xsd:maxLength value="255"/>
        </xsd:restriction>
      </xsd:simpleType>
    </xsd:element>
    <xsd:element name="DNB_Distributie" ma:index="21" nillable="true" ma:displayName="Distributie" ma:default="False" ma:internalName="DNB_Distributie">
      <xsd:simpleType>
        <xsd:restriction base="dms:Boolean"/>
      </xsd:simpleType>
    </xsd:element>
    <xsd:element name="DNB_Projectnaam" ma:index="22" nillable="true" ma:displayName="Project Name" ma:internalName="DNB_Projectnaam" ma:readOnly="false">
      <xsd:simpleType>
        <xsd:restriction base="dms:Text"/>
      </xsd:simpleType>
    </xsd:element>
    <xsd:element name="DNB_ProjectId" ma:index="24" nillable="true" ma:displayName="Project ID" ma:internalName="DNB_ProjectId">
      <xsd:simpleType>
        <xsd:restriction base="dms:Text"/>
      </xsd:simpleType>
    </xsd:element>
    <xsd:element name="DNB_Publiceren" ma:index="25" nillable="true" ma:displayName="Publish" ma:default="False" ma:internalName="DNB_Publiceren">
      <xsd:simpleType>
        <xsd:restriction base="dms:Boolean"/>
      </xsd:simpleType>
    </xsd:element>
    <xsd:element name="DNB_Show" ma:index="26" nillable="true" ma:displayName="Show" ma:default="True" ma:description="A boolean value that indicates if a listitem is showed in the default view" ma:internalName="DNB_Show" ma:readOnly="false">
      <xsd:simpleType>
        <xsd:restriction base="dms:Boolean"/>
      </xsd:simpleType>
    </xsd:element>
    <xsd:element name="m2811a07b6c6fd47188d63596ada41d4" ma:index="29"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f416c62b8084a6924c1caabc0cb60db6" ma:index="30"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 ma:index="31" nillable="true" ma:displayName="Taxonomy Catch All Column" ma:hidden="true" ma:list="{55b8ca9f-b4a0-4cda-b427-6be6decca9e2}"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k87fa04bff4d9972ce4710608e39267c" ma:index="34" nillable="true" ma:taxonomy="true" ma:internalName="k87fa04bff4d9972ce4710608e39267c" ma:taxonomyFieldName="DNB_ProjectLabel" ma:displayName="DNB Label" ma:readOnly="false"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TaxCatchAllLabel" ma:index="36" nillable="true" ma:displayName="Taxonomy Catch All Column1" ma:hidden="true" ma:list="{55b8ca9f-b4a0-4cda-b427-6be6decca9e2}"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lda0e043566dcacd3d66b94d90c3f946" ma:index="39" nillable="true" ma:taxonomy="true" ma:internalName="lda0e043566dcacd3d66b94d90c3f946" ma:taxonomyFieldName="DNB_Status" ma:displayName="Document Set Status" ma:default="-1;#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31cf-f79d-4377-a0ba-fc459d903c38" elementFormDefault="qualified">
    <xsd:import namespace="http://schemas.microsoft.com/office/2006/documentManagement/types"/>
    <xsd:import namespace="http://schemas.microsoft.com/office/infopath/2007/PartnerControls"/>
    <xsd:element name="l48a39acbf4c4b82a146bbbe07a5f7b7" ma:index="40" nillable="true" ma:taxonomy="true" ma:internalName="l48a39acbf4c4b82a146bbbe07a5f7b7" ma:taxonomyFieldName="Axia_x0020_Solvency_x0020_II_x0020_LTG_x0020_Review_x0020_2020_x0020_Label" ma:displayName="Axia Solvency II LTG Review 2020 Label" ma:default="" ma:fieldId="{548a39ac-bf4c-4b82-a146-bbbe07a5f7b7}" ma:taxonomyMulti="true" ma:sspId="b8135cd8-dd77-44d6-bdcc-adbf336672a2" ma:termSetId="d5501b30-8214-4415-b9a7-111269b534d2" ma:anchorId="00000000-0000-0000-0000-000000000000"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NB_Publiceren xmlns="d9eb7c7e-3a87-48dc-a7b7-365e1e85ed01">false</DNB_Publiceren>
    <DNB_Sjabloon xmlns="d9eb7c7e-3a87-48dc-a7b7-365e1e85ed01" xsi:nil="true"/>
    <DNB_EmAttachCount xmlns="d9eb7c7e-3a87-48dc-a7b7-365e1e85ed01" xsi:nil="true"/>
    <DNB_Distributie xmlns="d9eb7c7e-3a87-48dc-a7b7-365e1e85ed01">false</DNB_Distributie>
    <IconOverlay xmlns="http://schemas.microsoft.com/sharepoint/v4" xsi:nil="tru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Pensioenen ＆ Verzekeringen</TermName>
          <TermId xmlns="http://schemas.microsoft.com/office/infopath/2007/PartnerControls">21a75955-e093-4dce-9c31-e59acfc393c0</TermId>
        </TermInfo>
      </Terms>
    </m2811a07b6c6fd47188d63596ada41d4>
    <DNB_ProjectId xmlns="d9eb7c7e-3a87-48dc-a7b7-365e1e85ed01" xsi:nil="true"/>
    <l48a39acbf4c4b82a146bbbe07a5f7b7 xmlns="ab3431cf-f79d-4377-a0ba-fc459d903c38">
      <Terms xmlns="http://schemas.microsoft.com/office/infopath/2007/PartnerControls"/>
    </l48a39acbf4c4b82a146bbbe07a5f7b7>
    <DNB_CCOntvanger xmlns="d9eb7c7e-3a87-48dc-a7b7-365e1e85ed01">
      <UserInfo>
        <DisplayName/>
        <AccountId xsi:nil="true"/>
        <AccountType/>
      </UserInfo>
    </DNB_CCOntvanger>
    <DNB_EmAttachmentNames xmlns="d9eb7c7e-3a87-48dc-a7b7-365e1e85ed01" xsi:nil="true"/>
    <DNB_AuteurFix xmlns="d9eb7c7e-3a87-48dc-a7b7-365e1e85ed01">
      <UserInfo>
        <DisplayName/>
        <AccountId xsi:nil="true"/>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Toezicht Beleid</TermName>
          <TermId xmlns="http://schemas.microsoft.com/office/infopath/2007/PartnerControls">fb8980bc-b51a-40b3-9009-74f01b5ae82c</TermId>
        </TermInfo>
      </Terms>
    </f416c62b8084a6924c1caabc0cb60db6>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DNB_EmTo xmlns="d9eb7c7e-3a87-48dc-a7b7-365e1e85ed01" xsi:nil="true"/>
    <k87fa04bff4d9972ce4710608e39267c xmlns="d9eb7c7e-3a87-48dc-a7b7-365e1e85ed01">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k87fa04bff4d9972ce4710608e39267c>
    <DNB_EmCC xmlns="d9eb7c7e-3a87-48dc-a7b7-365e1e85ed01" xsi:nil="true"/>
    <DNB_Projectnaam xmlns="d9eb7c7e-3a87-48dc-a7b7-365e1e85ed01">Axia - Solvency II LTG Review 2020</DNB_Projectnaam>
    <_vti_ItemDeclaredRecord xmlns="http://schemas.microsoft.com/sharepoint/v3" xsi:nil="true"/>
    <DNB_EmFromName xmlns="d9eb7c7e-3a87-48dc-a7b7-365e1e85ed01" xsi:nil="true"/>
    <DNB_Opmerkingen xmlns="d9eb7c7e-3a87-48dc-a7b7-365e1e85ed01" xsi:nil="true"/>
    <DNB_Show xmlns="d9eb7c7e-3a87-48dc-a7b7-365e1e85ed01">false</DNB_Show>
    <DNB_EmDate xmlns="d9eb7c7e-3a87-48dc-a7b7-365e1e85ed01" xsi:nil="true"/>
    <TaxCatchAll xmlns="d9eb7c7e-3a87-48dc-a7b7-365e1e85ed01"/>
  </documentManagement>
</p:properties>
</file>

<file path=customXml/itemProps1.xml><?xml version="1.0" encoding="utf-8"?>
<ds:datastoreItem xmlns:ds="http://schemas.openxmlformats.org/officeDocument/2006/customXml" ds:itemID="{BDE57A7D-6225-4219-926C-130A20A7C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dnb.nl/sharepoint"/>
    <ds:schemaRef ds:uri="d9eb7c7e-3a87-48dc-a7b7-365e1e85ed01"/>
    <ds:schemaRef ds:uri="http://schemas.microsoft.com/sharepoint/v4"/>
    <ds:schemaRef ds:uri="ab3431cf-f79d-4377-a0ba-fc459d90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A29EB-C401-4601-A366-4A475A0E5C42}">
  <ds:schemaRefs>
    <ds:schemaRef ds:uri="http://schemas.microsoft.com/sharepoint/v3/contenttype/forms"/>
  </ds:schemaRefs>
</ds:datastoreItem>
</file>

<file path=customXml/itemProps3.xml><?xml version="1.0" encoding="utf-8"?>
<ds:datastoreItem xmlns:ds="http://schemas.openxmlformats.org/officeDocument/2006/customXml" ds:itemID="{55370192-F203-4D7E-A0B5-91937B84FE5E}">
  <ds:schemaRefs>
    <ds:schemaRef ds:uri="http://schemas.openxmlformats.org/officeDocument/2006/bibliography"/>
  </ds:schemaRefs>
</ds:datastoreItem>
</file>

<file path=customXml/itemProps4.xml><?xml version="1.0" encoding="utf-8"?>
<ds:datastoreItem xmlns:ds="http://schemas.openxmlformats.org/officeDocument/2006/customXml" ds:itemID="{CB9FCF47-F637-4EA7-90B3-D38FE440FD46}">
  <ds:schemaRefs>
    <ds:schemaRef ds:uri="http://schemas.microsoft.com/sharepoint/events"/>
    <ds:schemaRef ds:uri=""/>
  </ds:schemaRefs>
</ds:datastoreItem>
</file>

<file path=customXml/itemProps5.xml><?xml version="1.0" encoding="utf-8"?>
<ds:datastoreItem xmlns:ds="http://schemas.openxmlformats.org/officeDocument/2006/customXml" ds:itemID="{132AF529-0618-46B2-8F8C-744C24EF07FD}">
  <ds:schemaRefs>
    <ds:schemaRef ds:uri="d9eb7c7e-3a87-48dc-a7b7-365e1e85ed01"/>
    <ds:schemaRef ds:uri="http://schemas.microsoft.com/sharepoint/v3"/>
    <ds:schemaRef ds:uri="http://schemas.microsoft.com/office/2006/metadata/properties"/>
    <ds:schemaRef ds:uri="http://www.w3.org/XML/1998/namespace"/>
    <ds:schemaRef ds:uri="http://schemas.dnb.nl/sharepoint"/>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b3431cf-f79d-4377-a0ba-fc459d903c38"/>
    <ds:schemaRef ds:uri="http://schemas.microsoft.com/sharepoint/v4"/>
    <ds:schemaRef ds:uri="http://purl.org/dc/terms/"/>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23</Pages>
  <Words>7824</Words>
  <Characters>43032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50755</CharactersWithSpaces>
  <SharedDoc>false</SharedDoc>
  <HLinks>
    <vt:vector size="126" baseType="variant">
      <vt:variant>
        <vt:i4>2162756</vt:i4>
      </vt:variant>
      <vt:variant>
        <vt:i4>57</vt:i4>
      </vt:variant>
      <vt:variant>
        <vt:i4>0</vt:i4>
      </vt:variant>
      <vt:variant>
        <vt:i4>5</vt:i4>
      </vt:variant>
      <vt:variant>
        <vt:lpwstr>mailto:Solvency2@dnb.nl</vt:lpwstr>
      </vt:variant>
      <vt:variant>
        <vt:lpwstr/>
      </vt:variant>
      <vt:variant>
        <vt:i4>2162756</vt:i4>
      </vt:variant>
      <vt:variant>
        <vt:i4>54</vt:i4>
      </vt:variant>
      <vt:variant>
        <vt:i4>0</vt:i4>
      </vt:variant>
      <vt:variant>
        <vt:i4>5</vt:i4>
      </vt:variant>
      <vt:variant>
        <vt:lpwstr>mailto:Solvency2@dnb.nl</vt:lpwstr>
      </vt:variant>
      <vt:variant>
        <vt:lpwstr/>
      </vt:variant>
      <vt:variant>
        <vt:i4>1966171</vt:i4>
      </vt:variant>
      <vt:variant>
        <vt:i4>51</vt:i4>
      </vt:variant>
      <vt:variant>
        <vt:i4>0</vt:i4>
      </vt:variant>
      <vt:variant>
        <vt:i4>5</vt:i4>
      </vt:variant>
      <vt:variant>
        <vt:lpwstr>https://eur-lex.europa.eu/legal-content/EN/TXT/PDF/?uri=CELEX:52021DC0580</vt:lpwstr>
      </vt:variant>
      <vt:variant>
        <vt:lpwstr/>
      </vt:variant>
      <vt:variant>
        <vt:i4>8126529</vt:i4>
      </vt:variant>
      <vt:variant>
        <vt:i4>48</vt:i4>
      </vt:variant>
      <vt:variant>
        <vt:i4>0</vt:i4>
      </vt:variant>
      <vt:variant>
        <vt:i4>5</vt:i4>
      </vt:variant>
      <vt:variant>
        <vt:lpwstr>https://www.eiopa.europa.eu/document/download/3c7759d5-a97a-4bc4-bfae-875c5d460d56_en?filename=Opinion%20on%20the%202020%20review%20of%20Solvency%20II.pdf</vt:lpwstr>
      </vt:variant>
      <vt:variant>
        <vt:lpwstr/>
      </vt:variant>
      <vt:variant>
        <vt:i4>6684781</vt:i4>
      </vt:variant>
      <vt:variant>
        <vt:i4>45</vt:i4>
      </vt:variant>
      <vt:variant>
        <vt:i4>0</vt:i4>
      </vt:variant>
      <vt:variant>
        <vt:i4>5</vt:i4>
      </vt:variant>
      <vt:variant>
        <vt:lpwstr>https://data.consilium.europa.eu/doc/document/ST-5481-2024-INIT/en/pdf</vt:lpwstr>
      </vt:variant>
      <vt:variant>
        <vt:lpwstr/>
      </vt:variant>
      <vt:variant>
        <vt:i4>1048631</vt:i4>
      </vt:variant>
      <vt:variant>
        <vt:i4>38</vt:i4>
      </vt:variant>
      <vt:variant>
        <vt:i4>0</vt:i4>
      </vt:variant>
      <vt:variant>
        <vt:i4>5</vt:i4>
      </vt:variant>
      <vt:variant>
        <vt:lpwstr/>
      </vt:variant>
      <vt:variant>
        <vt:lpwstr>_Toc190338551</vt:lpwstr>
      </vt:variant>
      <vt:variant>
        <vt:i4>1048631</vt:i4>
      </vt:variant>
      <vt:variant>
        <vt:i4>32</vt:i4>
      </vt:variant>
      <vt:variant>
        <vt:i4>0</vt:i4>
      </vt:variant>
      <vt:variant>
        <vt:i4>5</vt:i4>
      </vt:variant>
      <vt:variant>
        <vt:lpwstr/>
      </vt:variant>
      <vt:variant>
        <vt:lpwstr>_Toc190338550</vt:lpwstr>
      </vt:variant>
      <vt:variant>
        <vt:i4>1114167</vt:i4>
      </vt:variant>
      <vt:variant>
        <vt:i4>26</vt:i4>
      </vt:variant>
      <vt:variant>
        <vt:i4>0</vt:i4>
      </vt:variant>
      <vt:variant>
        <vt:i4>5</vt:i4>
      </vt:variant>
      <vt:variant>
        <vt:lpwstr/>
      </vt:variant>
      <vt:variant>
        <vt:lpwstr>_Toc190338549</vt:lpwstr>
      </vt:variant>
      <vt:variant>
        <vt:i4>1114167</vt:i4>
      </vt:variant>
      <vt:variant>
        <vt:i4>20</vt:i4>
      </vt:variant>
      <vt:variant>
        <vt:i4>0</vt:i4>
      </vt:variant>
      <vt:variant>
        <vt:i4>5</vt:i4>
      </vt:variant>
      <vt:variant>
        <vt:lpwstr/>
      </vt:variant>
      <vt:variant>
        <vt:lpwstr>_Toc190338548</vt:lpwstr>
      </vt:variant>
      <vt:variant>
        <vt:i4>1114167</vt:i4>
      </vt:variant>
      <vt:variant>
        <vt:i4>14</vt:i4>
      </vt:variant>
      <vt:variant>
        <vt:i4>0</vt:i4>
      </vt:variant>
      <vt:variant>
        <vt:i4>5</vt:i4>
      </vt:variant>
      <vt:variant>
        <vt:lpwstr/>
      </vt:variant>
      <vt:variant>
        <vt:lpwstr>_Toc190338547</vt:lpwstr>
      </vt:variant>
      <vt:variant>
        <vt:i4>1114167</vt:i4>
      </vt:variant>
      <vt:variant>
        <vt:i4>8</vt:i4>
      </vt:variant>
      <vt:variant>
        <vt:i4>0</vt:i4>
      </vt:variant>
      <vt:variant>
        <vt:i4>5</vt:i4>
      </vt:variant>
      <vt:variant>
        <vt:lpwstr/>
      </vt:variant>
      <vt:variant>
        <vt:lpwstr>_Toc190338546</vt:lpwstr>
      </vt:variant>
      <vt:variant>
        <vt:i4>1114167</vt:i4>
      </vt:variant>
      <vt:variant>
        <vt:i4>2</vt:i4>
      </vt:variant>
      <vt:variant>
        <vt:i4>0</vt:i4>
      </vt:variant>
      <vt:variant>
        <vt:i4>5</vt:i4>
      </vt:variant>
      <vt:variant>
        <vt:lpwstr/>
      </vt:variant>
      <vt:variant>
        <vt:lpwstr>_Toc190338545</vt:lpwstr>
      </vt:variant>
      <vt:variant>
        <vt:i4>1507376</vt:i4>
      </vt:variant>
      <vt:variant>
        <vt:i4>24</vt:i4>
      </vt:variant>
      <vt:variant>
        <vt:i4>0</vt:i4>
      </vt:variant>
      <vt:variant>
        <vt:i4>5</vt:i4>
      </vt:variant>
      <vt:variant>
        <vt:lpwstr>https://www.eiopa.europa.eu/document/download/5ed96239-ccc1-4716-af03-46edd0444bad_en?filename=Background%20analysis.pdf</vt:lpwstr>
      </vt:variant>
      <vt:variant>
        <vt:lpwstr/>
      </vt:variant>
      <vt:variant>
        <vt:i4>1703993</vt:i4>
      </vt:variant>
      <vt:variant>
        <vt:i4>21</vt:i4>
      </vt:variant>
      <vt:variant>
        <vt:i4>0</vt:i4>
      </vt:variant>
      <vt:variant>
        <vt:i4>5</vt:i4>
      </vt:variant>
      <vt:variant>
        <vt:lpwstr>https://www.eiopa.europa.eu/publications/opinion-20232024-reassessment-nat-cat-standard-formula_en</vt:lpwstr>
      </vt:variant>
      <vt:variant>
        <vt:lpwstr/>
      </vt:variant>
      <vt:variant>
        <vt:i4>3080195</vt:i4>
      </vt:variant>
      <vt:variant>
        <vt:i4>18</vt:i4>
      </vt:variant>
      <vt:variant>
        <vt:i4>0</vt:i4>
      </vt:variant>
      <vt:variant>
        <vt:i4>5</vt:i4>
      </vt:variant>
      <vt:variant>
        <vt:lpwstr>https://www.eiopa.europa.eu/qa-regulation/questions-and-answers-database/326_en</vt:lpwstr>
      </vt:variant>
      <vt:variant>
        <vt:lpwstr/>
      </vt:variant>
      <vt:variant>
        <vt:i4>3342349</vt:i4>
      </vt:variant>
      <vt:variant>
        <vt:i4>15</vt:i4>
      </vt:variant>
      <vt:variant>
        <vt:i4>0</vt:i4>
      </vt:variant>
      <vt:variant>
        <vt:i4>5</vt:i4>
      </vt:variant>
      <vt:variant>
        <vt:lpwstr>https://www.eiopa.europa.eu/publications/opinion-2020-review-solvency-ii_en</vt:lpwstr>
      </vt:variant>
      <vt:variant>
        <vt:lpwstr/>
      </vt:variant>
      <vt:variant>
        <vt:i4>3342349</vt:i4>
      </vt:variant>
      <vt:variant>
        <vt:i4>12</vt:i4>
      </vt:variant>
      <vt:variant>
        <vt:i4>0</vt:i4>
      </vt:variant>
      <vt:variant>
        <vt:i4>5</vt:i4>
      </vt:variant>
      <vt:variant>
        <vt:lpwstr>https://www.eiopa.europa.eu/publications/opinion-2020-review-solvency-ii_en</vt:lpwstr>
      </vt:variant>
      <vt:variant>
        <vt:lpwstr/>
      </vt:variant>
      <vt:variant>
        <vt:i4>6684739</vt:i4>
      </vt:variant>
      <vt:variant>
        <vt:i4>9</vt:i4>
      </vt:variant>
      <vt:variant>
        <vt:i4>0</vt:i4>
      </vt:variant>
      <vt:variant>
        <vt:i4>5</vt:i4>
      </vt:variant>
      <vt:variant>
        <vt:lpwstr>https://www.eiopa.europa.eu/browse/regulation-and-policy/solvency-ii/2020-review-solvency-ii/solvency-ii-review-information-request-national-supervisory-authorities_en</vt:lpwstr>
      </vt:variant>
      <vt:variant>
        <vt:lpwstr/>
      </vt:variant>
      <vt:variant>
        <vt:i4>1966171</vt:i4>
      </vt:variant>
      <vt:variant>
        <vt:i4>6</vt:i4>
      </vt:variant>
      <vt:variant>
        <vt:i4>0</vt:i4>
      </vt:variant>
      <vt:variant>
        <vt:i4>5</vt:i4>
      </vt:variant>
      <vt:variant>
        <vt:lpwstr>https://eur-lex.europa.eu/legal-content/EN/TXT/PDF/?uri=CELEX:52021DC0580</vt:lpwstr>
      </vt:variant>
      <vt:variant>
        <vt:lpwstr/>
      </vt:variant>
      <vt:variant>
        <vt:i4>8126529</vt:i4>
      </vt:variant>
      <vt:variant>
        <vt:i4>3</vt:i4>
      </vt:variant>
      <vt:variant>
        <vt:i4>0</vt:i4>
      </vt:variant>
      <vt:variant>
        <vt:i4>5</vt:i4>
      </vt:variant>
      <vt:variant>
        <vt:lpwstr>https://www.eiopa.europa.eu/document/download/3c7759d5-a97a-4bc4-bfae-875c5d460d56_en?filename=Opinion%20on%20the%202020%20review%20of%20Solvency%20II.pdf</vt:lpwstr>
      </vt:variant>
      <vt:variant>
        <vt:lpwstr/>
      </vt:variant>
      <vt:variant>
        <vt:i4>2621546</vt:i4>
      </vt:variant>
      <vt:variant>
        <vt:i4>0</vt:i4>
      </vt:variant>
      <vt:variant>
        <vt:i4>0</vt:i4>
      </vt:variant>
      <vt:variant>
        <vt:i4>5</vt:i4>
      </vt:variant>
      <vt:variant>
        <vt:lpwstr>https://data.consilium.europa.eu/doc/document/PE-5-2024-INIT/en/pdf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Milili-Makrydakis, Sophia</dc:creator>
  <cp:keywords/>
  <cp:lastModifiedBy>Bakker, L.P. (Lammert) (TV_ECKA)</cp:lastModifiedBy>
  <cp:revision>8</cp:revision>
  <cp:lastPrinted>2025-02-13T11:36:00Z</cp:lastPrinted>
  <dcterms:created xsi:type="dcterms:W3CDTF">2025-02-13T10:52:00Z</dcterms:created>
  <dcterms:modified xsi:type="dcterms:W3CDTF">2025-03-20T10:32:00Z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0x0101001A9AF98CE4D646E7BAD5E0A615FBC4570033574BA5F6F8485F80DD011BE7D1CFF9004F9AFFD9F8E1A1459C48C7D699D38F42</vt:lpwstr>
  </property>
  <property fmtid="{D5CDD505-2E9C-101B-9397-08002B2CF9AE}" pid="3" name="ClassificationContentMarkingHeaderShapeIds">
    <vt:lpwstr>60f1f084,2ee26a79,37e663d6</vt:lpwstr>
  </property>
  <property fmtid="{D5CDD505-2E9C-101B-9397-08002B2CF9AE}" pid="4" name="ClassificationContentMarkingHeaderFontProps">
    <vt:lpwstr>#7faa39,10,Calibri</vt:lpwstr>
  </property>
  <property fmtid="{D5CDD505-2E9C-101B-9397-08002B2CF9AE}" pid="5" name="ClassificationContentMarkingHeaderText">
    <vt:lpwstr>| DNB PUBLIC |</vt:lpwstr>
  </property>
</Properties>
</file>