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6"/>
      </w:tblGrid>
      <w:tr w:rsidR="00F75762" w:rsidRPr="00992815" w14:paraId="474AFDE6" w14:textId="77777777" w:rsidTr="003A51C5">
        <w:tc>
          <w:tcPr>
            <w:tcW w:w="8152" w:type="dxa"/>
          </w:tcPr>
          <w:tbl>
            <w:tblPr>
              <w:tblW w:w="7938" w:type="dxa"/>
              <w:tblCellMar>
                <w:top w:w="108" w:type="dxa"/>
                <w:bottom w:w="108" w:type="dxa"/>
              </w:tblCellMar>
              <w:tblLook w:val="04A0" w:firstRow="1" w:lastRow="0" w:firstColumn="1" w:lastColumn="0" w:noHBand="0" w:noVBand="1"/>
            </w:tblPr>
            <w:tblGrid>
              <w:gridCol w:w="7938"/>
            </w:tblGrid>
            <w:tr w:rsidR="00F75762" w:rsidRPr="00B6267B" w14:paraId="6BC39659" w14:textId="77777777" w:rsidTr="001D4AD3">
              <w:trPr>
                <w:trHeight w:val="2013"/>
              </w:trPr>
              <w:tc>
                <w:tcPr>
                  <w:tcW w:w="5000" w:type="pct"/>
                  <w:shd w:val="clear" w:color="auto" w:fill="auto"/>
                </w:tcPr>
                <w:p w14:paraId="1FDA4593" w14:textId="77777777" w:rsidR="00F75762" w:rsidRPr="00B6267B" w:rsidRDefault="00F75762" w:rsidP="001D4AD3">
                  <w:pPr>
                    <w:rPr>
                      <w:sz w:val="20"/>
                      <w:szCs w:val="20"/>
                    </w:rPr>
                  </w:pPr>
                  <w:bookmarkStart w:id="0" w:name="_Hlk153966022"/>
                  <w:bookmarkStart w:id="1" w:name="_Hlk153966581"/>
                </w:p>
                <w:tbl>
                  <w:tblPr>
                    <w:tblW w:w="5000" w:type="pct"/>
                    <w:shd w:val="clear" w:color="auto" w:fill="44287F"/>
                    <w:tblCellMar>
                      <w:left w:w="0" w:type="dxa"/>
                      <w:right w:w="0" w:type="dxa"/>
                    </w:tblCellMar>
                    <w:tblLook w:val="04A0" w:firstRow="1" w:lastRow="0" w:firstColumn="1" w:lastColumn="0" w:noHBand="0" w:noVBand="1"/>
                  </w:tblPr>
                  <w:tblGrid>
                    <w:gridCol w:w="4570"/>
                    <w:gridCol w:w="3152"/>
                  </w:tblGrid>
                  <w:tr w:rsidR="00F75762" w:rsidRPr="00B6267B" w14:paraId="40C7A7C4" w14:textId="77777777" w:rsidTr="001D4AD3">
                    <w:trPr>
                      <w:trHeight w:val="113"/>
                    </w:trPr>
                    <w:tc>
                      <w:tcPr>
                        <w:tcW w:w="5000" w:type="pct"/>
                        <w:gridSpan w:val="2"/>
                        <w:shd w:val="clear" w:color="auto" w:fill="73C2FA"/>
                        <w:tcMar>
                          <w:top w:w="170" w:type="dxa"/>
                          <w:left w:w="170" w:type="dxa"/>
                          <w:bottom w:w="170" w:type="dxa"/>
                        </w:tcMar>
                      </w:tcPr>
                      <w:p w14:paraId="13ABCC41" w14:textId="77777777" w:rsidR="00F75762" w:rsidRPr="00B6267B" w:rsidRDefault="00F75762" w:rsidP="001D4AD3">
                        <w:pPr>
                          <w:spacing w:line="240" w:lineRule="auto"/>
                          <w:rPr>
                            <w:b/>
                            <w:color w:val="FEFEFE"/>
                            <w:sz w:val="20"/>
                            <w:szCs w:val="20"/>
                            <w14:textFill>
                              <w14:solidFill>
                                <w14:srgbClr w14:val="FEFEFE">
                                  <w14:alpha w14:val="30000"/>
                                </w14:srgbClr>
                              </w14:solidFill>
                            </w14:textFill>
                          </w:rPr>
                        </w:pPr>
                      </w:p>
                    </w:tc>
                  </w:tr>
                  <w:tr w:rsidR="00F75762" w:rsidRPr="00B6267B" w14:paraId="5B0E3ED6" w14:textId="77777777" w:rsidTr="001D4AD3">
                    <w:trPr>
                      <w:trHeight w:hRule="exact" w:val="1123"/>
                    </w:trPr>
                    <w:tc>
                      <w:tcPr>
                        <w:tcW w:w="2959" w:type="pct"/>
                        <w:shd w:val="clear" w:color="auto" w:fill="1226AA"/>
                        <w:tcMar>
                          <w:top w:w="0" w:type="dxa"/>
                          <w:left w:w="170" w:type="dxa"/>
                        </w:tcMar>
                      </w:tcPr>
                      <w:p w14:paraId="467BCEFD" w14:textId="5B6AE513" w:rsidR="00F75762" w:rsidRPr="00B6267B" w:rsidRDefault="00F75762" w:rsidP="001D4AD3">
                        <w:pPr>
                          <w:spacing w:before="240" w:line="276" w:lineRule="auto"/>
                          <w:rPr>
                            <w:b/>
                            <w:color w:val="FEFEFE"/>
                            <w:sz w:val="20"/>
                            <w:szCs w:val="20"/>
                            <w:lang w:val="en-GB"/>
                            <w14:textFill>
                              <w14:solidFill>
                                <w14:srgbClr w14:val="FEFEFE">
                                  <w14:alpha w14:val="30000"/>
                                </w14:srgbClr>
                              </w14:solidFill>
                            </w14:textFill>
                          </w:rPr>
                        </w:pPr>
                        <w:r w:rsidRPr="00B6267B">
                          <w:rPr>
                            <w:b/>
                            <w:color w:val="FEFEFE"/>
                            <w:sz w:val="20"/>
                            <w:szCs w:val="20"/>
                            <w:lang w:val="en-GB"/>
                            <w14:textFill>
                              <w14:solidFill>
                                <w14:srgbClr w14:val="FEFEFE">
                                  <w14:alpha w14:val="30000"/>
                                </w14:srgbClr>
                              </w14:solidFill>
                            </w14:textFill>
                          </w:rPr>
                          <w:fldChar w:fldCharType="begin"/>
                        </w:r>
                        <w:r w:rsidRPr="00B6267B">
                          <w:rPr>
                            <w:b/>
                            <w:color w:val="FEFEFE"/>
                            <w:sz w:val="20"/>
                            <w:szCs w:val="20"/>
                            <w:lang w:val="en-GB"/>
                            <w14:textFill>
                              <w14:solidFill>
                                <w14:srgbClr w14:val="FEFEFE">
                                  <w14:alpha w14:val="30000"/>
                                </w14:srgbClr>
                              </w14:solidFill>
                            </w14:textFill>
                          </w:rPr>
                          <w:instrText xml:space="preserve"> TIME \@ "MMMM yyyy" </w:instrText>
                        </w:r>
                        <w:r w:rsidRPr="00B6267B">
                          <w:rPr>
                            <w:b/>
                            <w:color w:val="FEFEFE"/>
                            <w:sz w:val="20"/>
                            <w:szCs w:val="20"/>
                            <w:lang w:val="en-GB"/>
                            <w14:textFill>
                              <w14:solidFill>
                                <w14:srgbClr w14:val="FEFEFE">
                                  <w14:alpha w14:val="30000"/>
                                </w14:srgbClr>
                              </w14:solidFill>
                            </w14:textFill>
                          </w:rPr>
                          <w:fldChar w:fldCharType="separate"/>
                        </w:r>
                        <w:r w:rsidR="00CC3204">
                          <w:rPr>
                            <w:b/>
                            <w:noProof/>
                            <w:color w:val="FEFEFE"/>
                            <w:sz w:val="20"/>
                            <w:szCs w:val="20"/>
                            <w:lang w:val="en-GB"/>
                            <w14:textFill>
                              <w14:solidFill>
                                <w14:srgbClr w14:val="FEFEFE">
                                  <w14:alpha w14:val="30000"/>
                                </w14:srgbClr>
                              </w14:solidFill>
                            </w14:textFill>
                          </w:rPr>
                          <w:t>February 2025</w:t>
                        </w:r>
                        <w:r w:rsidRPr="00B6267B">
                          <w:rPr>
                            <w:b/>
                            <w:color w:val="FEFEFE"/>
                            <w:sz w:val="20"/>
                            <w:szCs w:val="20"/>
                            <w:lang w:val="en-GB"/>
                            <w14:textFill>
                              <w14:solidFill>
                                <w14:srgbClr w14:val="FEFEFE">
                                  <w14:alpha w14:val="30000"/>
                                </w14:srgbClr>
                              </w14:solidFill>
                            </w14:textFill>
                          </w:rPr>
                          <w:fldChar w:fldCharType="end"/>
                        </w:r>
                      </w:p>
                      <w:p w14:paraId="16C09003" w14:textId="77777777" w:rsidR="00F75762" w:rsidRPr="00B6267B" w:rsidRDefault="00F75762" w:rsidP="001D4AD3">
                        <w:pPr>
                          <w:rPr>
                            <w:color w:val="FEFEFE"/>
                            <w:sz w:val="20"/>
                            <w:szCs w:val="20"/>
                          </w:rPr>
                        </w:pPr>
                        <w:r w:rsidRPr="00B6267B">
                          <w:rPr>
                            <w:color w:val="FEFEFE"/>
                            <w:sz w:val="20"/>
                            <w:szCs w:val="20"/>
                          </w:rPr>
                          <w:t xml:space="preserve">DNB Research </w:t>
                        </w:r>
                        <w:proofErr w:type="spellStart"/>
                        <w:r w:rsidRPr="00B6267B">
                          <w:rPr>
                            <w:color w:val="FEFEFE"/>
                            <w:sz w:val="20"/>
                            <w:szCs w:val="20"/>
                          </w:rPr>
                          <w:t>Newsletter</w:t>
                        </w:r>
                        <w:proofErr w:type="spellEnd"/>
                      </w:p>
                    </w:tc>
                    <w:tc>
                      <w:tcPr>
                        <w:tcW w:w="2041" w:type="pct"/>
                        <w:shd w:val="clear" w:color="auto" w:fill="1226AA"/>
                        <w:tcMar>
                          <w:top w:w="0" w:type="dxa"/>
                          <w:bottom w:w="0" w:type="dxa"/>
                        </w:tcMar>
                      </w:tcPr>
                      <w:p w14:paraId="74617D3B" w14:textId="77777777" w:rsidR="00F75762" w:rsidRPr="00B6267B" w:rsidRDefault="00F75762" w:rsidP="001D4AD3">
                        <w:pPr>
                          <w:jc w:val="right"/>
                          <w:rPr>
                            <w:color w:val="FEFEFE"/>
                            <w:sz w:val="20"/>
                            <w:szCs w:val="20"/>
                          </w:rPr>
                        </w:pPr>
                        <w:r w:rsidRPr="00B6267B">
                          <w:rPr>
                            <w:noProof/>
                            <w:color w:val="FEFEFE"/>
                            <w:sz w:val="20"/>
                            <w:szCs w:val="20"/>
                            <w:lang w:eastAsia="nl-NL"/>
                          </w:rPr>
                          <w:drawing>
                            <wp:inline distT="0" distB="0" distL="0" distR="0" wp14:anchorId="18C89FB7" wp14:editId="63A3E49A">
                              <wp:extent cx="1136391" cy="708025"/>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7298" cy="733512"/>
                                      </a:xfrm>
                                      <a:prstGeom prst="rect">
                                        <a:avLst/>
                                      </a:prstGeom>
                                    </pic:spPr>
                                  </pic:pic>
                                </a:graphicData>
                              </a:graphic>
                            </wp:inline>
                          </w:drawing>
                        </w:r>
                      </w:p>
                    </w:tc>
                  </w:tr>
                </w:tbl>
                <w:p w14:paraId="4C8D8211" w14:textId="77777777" w:rsidR="00F75762" w:rsidRPr="00B6267B" w:rsidRDefault="00F75762" w:rsidP="001D4AD3">
                  <w:pPr>
                    <w:spacing w:line="240" w:lineRule="auto"/>
                    <w:rPr>
                      <w:sz w:val="20"/>
                      <w:szCs w:val="20"/>
                    </w:rPr>
                  </w:pPr>
                </w:p>
              </w:tc>
            </w:tr>
            <w:tr w:rsidR="00F75762" w:rsidRPr="00B6267B" w14:paraId="19BA1985" w14:textId="77777777" w:rsidTr="001D4AD3">
              <w:tc>
                <w:tcPr>
                  <w:tcW w:w="5000" w:type="pct"/>
                  <w:shd w:val="clear" w:color="auto" w:fill="auto"/>
                </w:tcPr>
                <w:tbl>
                  <w:tblPr>
                    <w:tblW w:w="5000" w:type="pct"/>
                    <w:shd w:val="clear" w:color="auto" w:fill="1226AA"/>
                    <w:tblCellMar>
                      <w:left w:w="0" w:type="dxa"/>
                      <w:right w:w="0" w:type="dxa"/>
                    </w:tblCellMar>
                    <w:tblLook w:val="04A0" w:firstRow="1" w:lastRow="0" w:firstColumn="1" w:lastColumn="0" w:noHBand="0" w:noVBand="1"/>
                  </w:tblPr>
                  <w:tblGrid>
                    <w:gridCol w:w="7722"/>
                  </w:tblGrid>
                  <w:tr w:rsidR="00F75762" w:rsidRPr="00EE5CB4" w14:paraId="4510C832" w14:textId="77777777" w:rsidTr="001D4AD3">
                    <w:trPr>
                      <w:trHeight w:val="340"/>
                    </w:trPr>
                    <w:tc>
                      <w:tcPr>
                        <w:tcW w:w="5000" w:type="pct"/>
                        <w:shd w:val="clear" w:color="auto" w:fill="1226AA"/>
                        <w:tcMar>
                          <w:top w:w="57" w:type="dxa"/>
                          <w:left w:w="170" w:type="dxa"/>
                          <w:bottom w:w="57" w:type="dxa"/>
                        </w:tcMar>
                      </w:tcPr>
                      <w:p w14:paraId="496BBBCF" w14:textId="77777777" w:rsidR="00F75762" w:rsidRPr="00B6267B" w:rsidRDefault="00F75762" w:rsidP="001D4AD3">
                        <w:pPr>
                          <w:spacing w:line="240" w:lineRule="auto"/>
                          <w:rPr>
                            <w:color w:val="FFFFFF" w:themeColor="background1"/>
                            <w:sz w:val="20"/>
                            <w:szCs w:val="20"/>
                            <w:lang w:val="en-US"/>
                          </w:rPr>
                        </w:pPr>
                        <w:bookmarkStart w:id="2" w:name="R1top"/>
                        <w:r w:rsidRPr="00B6267B">
                          <w:rPr>
                            <w:color w:val="FEFEFE"/>
                            <w:sz w:val="20"/>
                            <w:szCs w:val="20"/>
                            <w:lang w:val="en-US"/>
                          </w:rPr>
                          <w:t>Research highlights</w:t>
                        </w:r>
                        <w:bookmarkEnd w:id="2"/>
                      </w:p>
                    </w:tc>
                  </w:tr>
                </w:tbl>
                <w:p w14:paraId="2FDCF165" w14:textId="77777777" w:rsidR="00F75762" w:rsidRPr="00B6267B" w:rsidRDefault="00F75762" w:rsidP="001D4AD3">
                  <w:pPr>
                    <w:spacing w:line="240" w:lineRule="auto"/>
                    <w:ind w:left="176"/>
                    <w:rPr>
                      <w:color w:val="1226AA"/>
                      <w:sz w:val="20"/>
                      <w:szCs w:val="20"/>
                      <w:lang w:val="en-US"/>
                    </w:rPr>
                  </w:pPr>
                </w:p>
                <w:p w14:paraId="0FEF47F1" w14:textId="5FCFBC71" w:rsidR="00A23AAE" w:rsidRPr="00A23AAE" w:rsidRDefault="00EE5CB4" w:rsidP="00A23AAE">
                  <w:pPr>
                    <w:rPr>
                      <w:b/>
                      <w:bCs/>
                      <w:color w:val="1226AA"/>
                      <w:sz w:val="20"/>
                      <w:szCs w:val="20"/>
                      <w:lang w:val="en-US"/>
                    </w:rPr>
                  </w:pPr>
                  <w:r>
                    <w:rPr>
                      <w:b/>
                      <w:bCs/>
                      <w:color w:val="1226AA"/>
                      <w:sz w:val="20"/>
                      <w:szCs w:val="20"/>
                      <w:lang w:val="en-US"/>
                    </w:rPr>
                    <w:t>1</w:t>
                  </w:r>
                  <w:r w:rsidR="00A23AAE" w:rsidRPr="00A23AAE">
                    <w:rPr>
                      <w:b/>
                      <w:bCs/>
                      <w:color w:val="1226AA"/>
                      <w:sz w:val="20"/>
                      <w:szCs w:val="20"/>
                      <w:lang w:val="en-US"/>
                    </w:rPr>
                    <w:t>. A Structural Investigation of Quantitative Easing</w:t>
                  </w:r>
                </w:p>
                <w:p w14:paraId="69A7A0D2" w14:textId="3430C1AD" w:rsidR="00A23AAE" w:rsidRPr="00A23AAE" w:rsidRDefault="00EE5CB4" w:rsidP="00253C36">
                  <w:pPr>
                    <w:jc w:val="both"/>
                    <w:rPr>
                      <w:sz w:val="20"/>
                      <w:szCs w:val="20"/>
                      <w:lang w:val="en-US"/>
                    </w:rPr>
                  </w:pPr>
                  <w:r w:rsidRPr="00253C36">
                    <w:rPr>
                      <w:color w:val="1226AA"/>
                      <w:sz w:val="20"/>
                      <w:szCs w:val="20"/>
                      <w:lang w:val="en-US"/>
                    </w:rPr>
                    <w:t>Large-scale asset purchases have been the marginal policy tool to steer the monetary stance in many developed countries during the period when the effective lower bound (ELB) on the policy rate was binding. In a recently published article in the Review of Economics and Statistics, Gavin Goy and his co-authors investigate the effects of the Federal Reserve’s quantitative easing program in an estimated structural model that explicitly accounts for the ELB as an occasionally binding constraint. While QE is found to have raised aggregate activity, the authors uncover a new channel through which the Fed’s unconventional monetary policy measures may have actually lowered inflation</w:t>
                  </w:r>
                  <w:r w:rsidRPr="00EE5CB4">
                    <w:rPr>
                      <w:sz w:val="20"/>
                      <w:szCs w:val="20"/>
                      <w:lang w:val="en-US"/>
                    </w:rPr>
                    <w:t xml:space="preserve">. </w:t>
                  </w:r>
                  <w:hyperlink w:anchor="StructuralInvestigation" w:history="1">
                    <w:r w:rsidR="00A23AAE" w:rsidRPr="005A582B">
                      <w:rPr>
                        <w:rStyle w:val="Hyperlink"/>
                        <w:b/>
                        <w:bCs/>
                        <w:sz w:val="20"/>
                        <w:szCs w:val="20"/>
                        <w:lang w:val="en-US"/>
                      </w:rPr>
                      <w:t>[Read more]</w:t>
                    </w:r>
                  </w:hyperlink>
                </w:p>
                <w:p w14:paraId="22D17110" w14:textId="78EB7A2D" w:rsidR="00EE5CB4" w:rsidRPr="00A23AAE" w:rsidRDefault="00EE5CB4" w:rsidP="00EE5CB4">
                  <w:pPr>
                    <w:jc w:val="both"/>
                    <w:rPr>
                      <w:b/>
                      <w:color w:val="1226AA"/>
                      <w:sz w:val="20"/>
                      <w:szCs w:val="20"/>
                      <w:lang w:val="en-US"/>
                    </w:rPr>
                  </w:pPr>
                  <w:r>
                    <w:rPr>
                      <w:sz w:val="20"/>
                      <w:szCs w:val="20"/>
                      <w:lang w:val="en-US"/>
                    </w:rPr>
                    <w:br/>
                  </w:r>
                  <w:r>
                    <w:rPr>
                      <w:b/>
                      <w:color w:val="1226AA"/>
                      <w:sz w:val="20"/>
                      <w:szCs w:val="20"/>
                      <w:lang w:val="en-US"/>
                    </w:rPr>
                    <w:t>2</w:t>
                  </w:r>
                  <w:r w:rsidRPr="00B6267B">
                    <w:rPr>
                      <w:b/>
                      <w:color w:val="1226AA"/>
                      <w:sz w:val="20"/>
                      <w:szCs w:val="20"/>
                      <w:lang w:val="en-US"/>
                    </w:rPr>
                    <w:t>.</w:t>
                  </w:r>
                  <w:r>
                    <w:rPr>
                      <w:b/>
                      <w:color w:val="1226AA"/>
                      <w:sz w:val="20"/>
                      <w:szCs w:val="20"/>
                      <w:lang w:val="en-US"/>
                    </w:rPr>
                    <w:t xml:space="preserve"> </w:t>
                  </w:r>
                  <w:r w:rsidRPr="00A23AAE">
                    <w:rPr>
                      <w:b/>
                      <w:bCs/>
                      <w:color w:val="1226AA"/>
                      <w:sz w:val="20"/>
                      <w:szCs w:val="20"/>
                      <w:lang w:val="en-US"/>
                    </w:rPr>
                    <w:t>Fiscal Policy and Inflation in the Euro Area</w:t>
                  </w:r>
                  <w:r>
                    <w:rPr>
                      <w:b/>
                      <w:bCs/>
                      <w:color w:val="1226AA"/>
                      <w:sz w:val="20"/>
                      <w:szCs w:val="20"/>
                      <w:lang w:val="en-US"/>
                    </w:rPr>
                    <w:t xml:space="preserve"> </w:t>
                  </w:r>
                </w:p>
                <w:p w14:paraId="57EB3EDD" w14:textId="43913DDC" w:rsidR="00EE5CB4" w:rsidRPr="00A23AAE" w:rsidRDefault="00EE5CB4" w:rsidP="00253C36">
                  <w:pPr>
                    <w:jc w:val="both"/>
                    <w:rPr>
                      <w:b/>
                      <w:bCs/>
                      <w:sz w:val="20"/>
                      <w:szCs w:val="20"/>
                      <w:lang w:val="en-US"/>
                    </w:rPr>
                  </w:pPr>
                  <w:r w:rsidRPr="00253C36">
                    <w:rPr>
                      <w:color w:val="1226AA"/>
                      <w:sz w:val="20"/>
                      <w:szCs w:val="20"/>
                      <w:lang w:val="en-US"/>
                    </w:rPr>
                    <w:t>In a recent DNB working paper, Guido Ascari, Dennis Bonam, Lorenzo Mori</w:t>
                  </w:r>
                  <w:r w:rsidR="00253C36">
                    <w:rPr>
                      <w:color w:val="1226AA"/>
                      <w:sz w:val="20"/>
                      <w:szCs w:val="20"/>
                      <w:lang w:val="en-US"/>
                    </w:rPr>
                    <w:t>,</w:t>
                  </w:r>
                  <w:r w:rsidRPr="00253C36">
                    <w:rPr>
                      <w:color w:val="1226AA"/>
                      <w:sz w:val="20"/>
                      <w:szCs w:val="20"/>
                      <w:lang w:val="en-US"/>
                    </w:rPr>
                    <w:t xml:space="preserve"> and Andra Smadu investigate the relationship between fiscal policy and inflation dynamics in the Euro Area, with a focus on the post-pandemic inflation surge. Using a Bayesian vector autoregression model identified via sign restrictions, </w:t>
                  </w:r>
                  <w:r w:rsidR="00253C36">
                    <w:rPr>
                      <w:color w:val="1226AA"/>
                      <w:sz w:val="20"/>
                      <w:szCs w:val="20"/>
                      <w:lang w:val="en-US"/>
                    </w:rPr>
                    <w:t>they</w:t>
                  </w:r>
                  <w:r w:rsidRPr="00253C36">
                    <w:rPr>
                      <w:color w:val="1226AA"/>
                      <w:sz w:val="20"/>
                      <w:szCs w:val="20"/>
                      <w:lang w:val="en-US"/>
                    </w:rPr>
                    <w:t xml:space="preserve"> disentangle the effects of various demand- and supply-side shocks, including fiscal policy, on inflation. </w:t>
                  </w:r>
                  <w:hyperlink w:anchor="FiscalPolicy" w:history="1">
                    <w:r w:rsidRPr="005A582B">
                      <w:rPr>
                        <w:rStyle w:val="Hyperlink"/>
                        <w:b/>
                        <w:bCs/>
                        <w:sz w:val="20"/>
                        <w:szCs w:val="20"/>
                        <w:lang w:val="en-US"/>
                      </w:rPr>
                      <w:t>[Read more]</w:t>
                    </w:r>
                  </w:hyperlink>
                </w:p>
                <w:p w14:paraId="26875908" w14:textId="77777777" w:rsidR="00A23AAE" w:rsidRDefault="00A23AAE" w:rsidP="00A23AAE">
                  <w:pPr>
                    <w:rPr>
                      <w:b/>
                      <w:bCs/>
                      <w:lang w:val="en-US"/>
                    </w:rPr>
                  </w:pPr>
                </w:p>
                <w:p w14:paraId="316F4580" w14:textId="46471DA0" w:rsidR="00A23AAE" w:rsidRPr="00A23AAE" w:rsidRDefault="00A23AAE" w:rsidP="00A23AAE">
                  <w:pPr>
                    <w:rPr>
                      <w:color w:val="1226AA"/>
                      <w:sz w:val="20"/>
                      <w:szCs w:val="20"/>
                      <w:lang w:val="en-US"/>
                    </w:rPr>
                  </w:pPr>
                  <w:r>
                    <w:rPr>
                      <w:b/>
                      <w:bCs/>
                      <w:color w:val="1226AA"/>
                      <w:sz w:val="20"/>
                      <w:szCs w:val="20"/>
                      <w:lang w:val="en-US"/>
                    </w:rPr>
                    <w:t xml:space="preserve">3. </w:t>
                  </w:r>
                  <w:r w:rsidRPr="00A23AAE">
                    <w:rPr>
                      <w:b/>
                      <w:bCs/>
                      <w:color w:val="1226AA"/>
                      <w:sz w:val="20"/>
                      <w:szCs w:val="20"/>
                      <w:lang w:val="en-US"/>
                    </w:rPr>
                    <w:t>Climate-Linked Bonds</w:t>
                  </w:r>
                </w:p>
                <w:p w14:paraId="14C9FED1" w14:textId="1BB68E73" w:rsidR="00A23AAE" w:rsidRPr="00A23AAE" w:rsidRDefault="00A23AAE" w:rsidP="00A23AAE">
                  <w:pPr>
                    <w:rPr>
                      <w:sz w:val="20"/>
                      <w:szCs w:val="20"/>
                      <w:lang w:val="en-US"/>
                    </w:rPr>
                  </w:pPr>
                  <w:r w:rsidRPr="00253C36">
                    <w:rPr>
                      <w:color w:val="1226AA"/>
                      <w:sz w:val="20"/>
                      <w:szCs w:val="20"/>
                      <w:lang w:val="en-US"/>
                    </w:rPr>
                    <w:t>In this paper</w:t>
                  </w:r>
                  <w:r w:rsidR="00253C36">
                    <w:rPr>
                      <w:color w:val="1226AA"/>
                      <w:sz w:val="20"/>
                      <w:szCs w:val="20"/>
                      <w:lang w:val="en-US"/>
                    </w:rPr>
                    <w:t>,</w:t>
                  </w:r>
                  <w:r w:rsidRPr="00253C36">
                    <w:rPr>
                      <w:color w:val="1226AA"/>
                      <w:sz w:val="20"/>
                      <w:szCs w:val="20"/>
                      <w:lang w:val="en-US"/>
                    </w:rPr>
                    <w:t xml:space="preserve"> Dirk Broeders, Daniel Dimitrov and Niek Verhoeven examine an innovative financial tool designed to address the growing challenges of climate change. </w:t>
                  </w:r>
                  <w:hyperlink w:anchor="ClimateBonds" w:history="1">
                    <w:r w:rsidRPr="005A582B">
                      <w:rPr>
                        <w:rStyle w:val="Hyperlink"/>
                        <w:sz w:val="20"/>
                        <w:szCs w:val="20"/>
                        <w:lang w:val="en-US"/>
                      </w:rPr>
                      <w:t>[</w:t>
                    </w:r>
                    <w:r w:rsidRPr="005A582B">
                      <w:rPr>
                        <w:rStyle w:val="Hyperlink"/>
                        <w:b/>
                        <w:bCs/>
                        <w:sz w:val="20"/>
                        <w:szCs w:val="20"/>
                        <w:lang w:val="en-US"/>
                      </w:rPr>
                      <w:t>Read more</w:t>
                    </w:r>
                    <w:r w:rsidRPr="005A582B">
                      <w:rPr>
                        <w:rStyle w:val="Hyperlink"/>
                        <w:sz w:val="20"/>
                        <w:szCs w:val="20"/>
                        <w:lang w:val="en-US"/>
                      </w:rPr>
                      <w:t>]</w:t>
                    </w:r>
                  </w:hyperlink>
                </w:p>
                <w:p w14:paraId="4389EDAA" w14:textId="253EB52A" w:rsidR="00FC6FF6" w:rsidRPr="00A23AAE" w:rsidRDefault="00FC6FF6" w:rsidP="00FC6FF6">
                  <w:pPr>
                    <w:rPr>
                      <w:color w:val="1226AA"/>
                      <w:sz w:val="20"/>
                      <w:szCs w:val="20"/>
                      <w:lang w:val="en-US"/>
                    </w:rPr>
                  </w:pPr>
                  <w:r w:rsidRPr="00FC6FF6">
                    <w:rPr>
                      <w:color w:val="1226AA"/>
                      <w:sz w:val="20"/>
                      <w:szCs w:val="20"/>
                      <w:lang w:val="en-US"/>
                    </w:rPr>
                    <w:br/>
                  </w:r>
                  <w:r>
                    <w:rPr>
                      <w:b/>
                      <w:bCs/>
                      <w:color w:val="1226AA"/>
                      <w:sz w:val="20"/>
                      <w:szCs w:val="20"/>
                      <w:lang w:val="en-US"/>
                    </w:rPr>
                    <w:t xml:space="preserve">4. </w:t>
                  </w:r>
                  <w:r w:rsidRPr="00FC6FF6">
                    <w:rPr>
                      <w:b/>
                      <w:bCs/>
                      <w:color w:val="1226AA"/>
                      <w:sz w:val="20"/>
                      <w:szCs w:val="20"/>
                      <w:lang w:val="en-US"/>
                    </w:rPr>
                    <w:t>DNB Annual Research Conference</w:t>
                  </w:r>
                </w:p>
                <w:p w14:paraId="1D6F6F5F" w14:textId="1256CD66" w:rsidR="00FC6FF6" w:rsidRDefault="00FC6FF6" w:rsidP="00FC6FF6">
                  <w:pPr>
                    <w:jc w:val="both"/>
                    <w:rPr>
                      <w:sz w:val="20"/>
                      <w:szCs w:val="20"/>
                      <w:lang w:val="en-US"/>
                    </w:rPr>
                  </w:pPr>
                  <w:r w:rsidRPr="00253C36">
                    <w:rPr>
                      <w:color w:val="1226AA"/>
                      <w:sz w:val="20"/>
                      <w:szCs w:val="20"/>
                      <w:lang w:val="en-US"/>
                    </w:rPr>
                    <w:t xml:space="preserve">The 27th Annual Research Conference of the Dutch Central Bank took place in Amsterdam on 21 and 22 of November, 2024. Rising political tensions worldwide are gradually reshaping the global economic order, with </w:t>
                  </w:r>
                  <w:r w:rsidRPr="00253C36">
                    <w:rPr>
                      <w:color w:val="1226AA"/>
                      <w:sz w:val="20"/>
                      <w:szCs w:val="20"/>
                      <w:lang w:val="en-US"/>
                    </w:rPr>
                    <w:lastRenderedPageBreak/>
                    <w:t xml:space="preserve">geopolitical uncertainty impacting policy decisions and economic performance. </w:t>
                  </w:r>
                  <w:r w:rsidR="004A7EA2" w:rsidRPr="00253C36">
                    <w:rPr>
                      <w:color w:val="1226AA"/>
                      <w:sz w:val="20"/>
                      <w:szCs w:val="20"/>
                      <w:lang w:val="en-US"/>
                    </w:rPr>
                    <w:t>This edition of the</w:t>
                  </w:r>
                  <w:r w:rsidRPr="00253C36">
                    <w:rPr>
                      <w:color w:val="1226AA"/>
                      <w:sz w:val="20"/>
                      <w:szCs w:val="20"/>
                      <w:lang w:val="en-US"/>
                    </w:rPr>
                    <w:t xml:space="preserve"> conference brought together scholars, researchers and policymakers to discuss the potential implications of an intensification in (geo-)economic and financial fragmentation for international trade, production networks, payment systems, asset prices, cross-border investments, migration, technological progress and the international monetary system. </w:t>
                  </w:r>
                  <w:hyperlink w:anchor="ARC" w:history="1">
                    <w:r w:rsidRPr="005A582B">
                      <w:rPr>
                        <w:rStyle w:val="Hyperlink"/>
                        <w:sz w:val="20"/>
                        <w:szCs w:val="20"/>
                        <w:lang w:val="en-US"/>
                      </w:rPr>
                      <w:t>[</w:t>
                    </w:r>
                    <w:r w:rsidRPr="005A582B">
                      <w:rPr>
                        <w:rStyle w:val="Hyperlink"/>
                        <w:b/>
                        <w:bCs/>
                        <w:sz w:val="20"/>
                        <w:szCs w:val="20"/>
                        <w:lang w:val="en-US"/>
                      </w:rPr>
                      <w:t>Read more</w:t>
                    </w:r>
                    <w:r w:rsidRPr="005A582B">
                      <w:rPr>
                        <w:rStyle w:val="Hyperlink"/>
                        <w:sz w:val="20"/>
                        <w:szCs w:val="20"/>
                        <w:lang w:val="en-US"/>
                      </w:rPr>
                      <w:t>]</w:t>
                    </w:r>
                  </w:hyperlink>
                </w:p>
                <w:p w14:paraId="1551011D" w14:textId="77777777" w:rsidR="00FC6FF6" w:rsidRDefault="00FC6FF6" w:rsidP="00FC6FF6">
                  <w:pPr>
                    <w:jc w:val="both"/>
                    <w:rPr>
                      <w:sz w:val="20"/>
                      <w:szCs w:val="20"/>
                      <w:lang w:val="en-US"/>
                    </w:rPr>
                  </w:pPr>
                </w:p>
                <w:p w14:paraId="2477CA33" w14:textId="687B86BF" w:rsidR="00FC6FF6" w:rsidRPr="00A23AAE" w:rsidRDefault="00FC6FF6" w:rsidP="00FC6FF6">
                  <w:pPr>
                    <w:rPr>
                      <w:color w:val="1226AA"/>
                      <w:sz w:val="20"/>
                      <w:szCs w:val="20"/>
                      <w:lang w:val="en-US"/>
                    </w:rPr>
                  </w:pPr>
                  <w:r>
                    <w:rPr>
                      <w:b/>
                      <w:bCs/>
                      <w:color w:val="1226AA"/>
                      <w:sz w:val="20"/>
                      <w:szCs w:val="20"/>
                      <w:lang w:val="en-US"/>
                    </w:rPr>
                    <w:t xml:space="preserve">5. </w:t>
                  </w:r>
                  <w:r w:rsidRPr="00FC6FF6">
                    <w:rPr>
                      <w:b/>
                      <w:bCs/>
                      <w:color w:val="1226AA"/>
                      <w:sz w:val="20"/>
                      <w:szCs w:val="20"/>
                      <w:lang w:val="en-US"/>
                    </w:rPr>
                    <w:t xml:space="preserve">3rd </w:t>
                  </w:r>
                  <w:proofErr w:type="spellStart"/>
                  <w:r w:rsidRPr="00FC6FF6">
                    <w:rPr>
                      <w:b/>
                      <w:bCs/>
                      <w:color w:val="1226AA"/>
                      <w:sz w:val="20"/>
                      <w:szCs w:val="20"/>
                      <w:lang w:val="en-US"/>
                    </w:rPr>
                    <w:t>XAmsterdam</w:t>
                  </w:r>
                  <w:proofErr w:type="spellEnd"/>
                  <w:r w:rsidRPr="00FC6FF6">
                    <w:rPr>
                      <w:b/>
                      <w:bCs/>
                      <w:color w:val="1226AA"/>
                      <w:sz w:val="20"/>
                      <w:szCs w:val="20"/>
                      <w:lang w:val="en-US"/>
                    </w:rPr>
                    <w:t xml:space="preserve"> Macroeconomic Workshop</w:t>
                  </w:r>
                </w:p>
                <w:p w14:paraId="7730EC14" w14:textId="35FF07E0" w:rsidR="00F75762" w:rsidRPr="00FC6FF6" w:rsidRDefault="00FC6FF6" w:rsidP="00BA5C5C">
                  <w:pPr>
                    <w:jc w:val="both"/>
                    <w:rPr>
                      <w:color w:val="1226AA"/>
                      <w:sz w:val="20"/>
                      <w:szCs w:val="20"/>
                      <w:lang w:val="en-US"/>
                    </w:rPr>
                  </w:pPr>
                  <w:r w:rsidRPr="00253C36">
                    <w:rPr>
                      <w:color w:val="1226AA"/>
                      <w:sz w:val="20"/>
                      <w:szCs w:val="20"/>
                      <w:lang w:val="en-US"/>
                    </w:rPr>
                    <w:t xml:space="preserve">The 3rd edition of the </w:t>
                  </w:r>
                  <w:proofErr w:type="spellStart"/>
                  <w:r w:rsidRPr="00253C36">
                    <w:rPr>
                      <w:color w:val="1226AA"/>
                      <w:sz w:val="20"/>
                      <w:szCs w:val="20"/>
                      <w:lang w:val="en-US"/>
                    </w:rPr>
                    <w:t>XAmsterdam</w:t>
                  </w:r>
                  <w:proofErr w:type="spellEnd"/>
                  <w:r w:rsidRPr="00253C36">
                    <w:rPr>
                      <w:color w:val="1226AA"/>
                      <w:sz w:val="20"/>
                      <w:szCs w:val="20"/>
                      <w:lang w:val="en-US"/>
                    </w:rPr>
                    <w:t xml:space="preserve"> Macroeconomic workshop took place on December 19 and 20, at the Tinbergen Institute in Amsterdam. </w:t>
                  </w:r>
                  <w:hyperlink w:anchor="XAmsterdam" w:history="1">
                    <w:r w:rsidRPr="005A582B">
                      <w:rPr>
                        <w:rStyle w:val="Hyperlink"/>
                        <w:sz w:val="20"/>
                        <w:szCs w:val="20"/>
                        <w:lang w:val="en-US"/>
                      </w:rPr>
                      <w:t>[</w:t>
                    </w:r>
                    <w:r w:rsidRPr="005A582B">
                      <w:rPr>
                        <w:rStyle w:val="Hyperlink"/>
                        <w:b/>
                        <w:bCs/>
                        <w:sz w:val="20"/>
                        <w:szCs w:val="20"/>
                        <w:lang w:val="en-US"/>
                      </w:rPr>
                      <w:t>Read more</w:t>
                    </w:r>
                    <w:r w:rsidRPr="005A582B">
                      <w:rPr>
                        <w:rStyle w:val="Hyperlink"/>
                        <w:sz w:val="20"/>
                        <w:szCs w:val="20"/>
                        <w:lang w:val="en-US"/>
                      </w:rPr>
                      <w:t>]</w:t>
                    </w:r>
                  </w:hyperlink>
                </w:p>
                <w:p w14:paraId="57B3BB46" w14:textId="77777777" w:rsidR="00F75762" w:rsidRPr="00FC6FF6" w:rsidRDefault="00F75762" w:rsidP="001D4AD3">
                  <w:pPr>
                    <w:rPr>
                      <w:color w:val="1226AA"/>
                      <w:sz w:val="20"/>
                      <w:szCs w:val="20"/>
                      <w:lang w:val="en-US"/>
                    </w:rPr>
                  </w:pPr>
                  <w:r w:rsidRPr="00FC6FF6">
                    <w:rPr>
                      <w:color w:val="1226AA"/>
                      <w:sz w:val="20"/>
                      <w:szCs w:val="20"/>
                      <w:lang w:val="en-US"/>
                    </w:rPr>
                    <w:t xml:space="preserve"> </w:t>
                  </w:r>
                </w:p>
                <w:tbl>
                  <w:tblPr>
                    <w:tblW w:w="5000" w:type="pct"/>
                    <w:shd w:val="clear" w:color="auto" w:fill="1226AA"/>
                    <w:tblCellMar>
                      <w:left w:w="0" w:type="dxa"/>
                      <w:right w:w="0" w:type="dxa"/>
                    </w:tblCellMar>
                    <w:tblLook w:val="04A0" w:firstRow="1" w:lastRow="0" w:firstColumn="1" w:lastColumn="0" w:noHBand="0" w:noVBand="1"/>
                  </w:tblPr>
                  <w:tblGrid>
                    <w:gridCol w:w="7722"/>
                  </w:tblGrid>
                  <w:tr w:rsidR="00F75762" w:rsidRPr="00BA5C5C" w14:paraId="7FEFC576" w14:textId="77777777" w:rsidTr="001D4AD3">
                    <w:trPr>
                      <w:trHeight w:val="340"/>
                    </w:trPr>
                    <w:tc>
                      <w:tcPr>
                        <w:tcW w:w="5000" w:type="pct"/>
                        <w:shd w:val="clear" w:color="auto" w:fill="1226AA"/>
                        <w:tcMar>
                          <w:top w:w="57" w:type="dxa"/>
                          <w:left w:w="170" w:type="dxa"/>
                          <w:bottom w:w="57" w:type="dxa"/>
                        </w:tcMar>
                      </w:tcPr>
                      <w:p w14:paraId="252462D1" w14:textId="1E5FFE96" w:rsidR="00F75762" w:rsidRPr="00EE5CB4" w:rsidRDefault="00F75762" w:rsidP="001D4AD3">
                        <w:pPr>
                          <w:spacing w:line="240" w:lineRule="auto"/>
                          <w:rPr>
                            <w:color w:val="FFFFFF" w:themeColor="background1"/>
                            <w:sz w:val="20"/>
                            <w:szCs w:val="20"/>
                          </w:rPr>
                        </w:pPr>
                        <w:r w:rsidRPr="00EE5CB4">
                          <w:rPr>
                            <w:color w:val="FEFEFE"/>
                            <w:sz w:val="20"/>
                            <w:szCs w:val="20"/>
                          </w:rPr>
                          <w:t>Publications (</w:t>
                        </w:r>
                        <w:proofErr w:type="spellStart"/>
                        <w:r w:rsidRPr="00EE5CB4">
                          <w:rPr>
                            <w:color w:val="FEFEFE"/>
                            <w:sz w:val="20"/>
                            <w:szCs w:val="20"/>
                          </w:rPr>
                          <w:t>since</w:t>
                        </w:r>
                        <w:proofErr w:type="spellEnd"/>
                        <w:r w:rsidRPr="00EE5CB4">
                          <w:rPr>
                            <w:color w:val="FEFEFE"/>
                            <w:sz w:val="20"/>
                            <w:szCs w:val="20"/>
                          </w:rPr>
                          <w:t xml:space="preserve"> </w:t>
                        </w:r>
                        <w:proofErr w:type="spellStart"/>
                        <w:r w:rsidR="00BA5C5C" w:rsidRPr="00EE5CB4">
                          <w:rPr>
                            <w:color w:val="FEFEFE"/>
                            <w:sz w:val="20"/>
                            <w:szCs w:val="20"/>
                          </w:rPr>
                          <w:t>October</w:t>
                        </w:r>
                        <w:proofErr w:type="spellEnd"/>
                        <w:r w:rsidR="00BA5C5C" w:rsidRPr="00EE5CB4">
                          <w:rPr>
                            <w:color w:val="FEFEFE"/>
                            <w:sz w:val="20"/>
                            <w:szCs w:val="20"/>
                          </w:rPr>
                          <w:t xml:space="preserve"> </w:t>
                        </w:r>
                        <w:r w:rsidRPr="00EE5CB4">
                          <w:rPr>
                            <w:color w:val="FEFEFE"/>
                            <w:sz w:val="20"/>
                            <w:szCs w:val="20"/>
                          </w:rPr>
                          <w:t>202</w:t>
                        </w:r>
                        <w:r w:rsidR="00E5042E" w:rsidRPr="00EE5CB4">
                          <w:rPr>
                            <w:color w:val="FEFEFE"/>
                            <w:sz w:val="20"/>
                            <w:szCs w:val="20"/>
                          </w:rPr>
                          <w:t>4</w:t>
                        </w:r>
                        <w:r w:rsidRPr="00EE5CB4">
                          <w:rPr>
                            <w:color w:val="FEFEFE"/>
                            <w:sz w:val="20"/>
                            <w:szCs w:val="20"/>
                          </w:rPr>
                          <w:t>)</w:t>
                        </w:r>
                      </w:p>
                    </w:tc>
                  </w:tr>
                </w:tbl>
                <w:p w14:paraId="2C774265" w14:textId="77777777" w:rsidR="00F75762" w:rsidRPr="00EE5CB4" w:rsidRDefault="00F75762" w:rsidP="001D4AD3">
                  <w:pPr>
                    <w:spacing w:line="240" w:lineRule="auto"/>
                    <w:ind w:left="176"/>
                    <w:rPr>
                      <w:color w:val="1226AA"/>
                      <w:sz w:val="20"/>
                      <w:szCs w:val="20"/>
                    </w:rPr>
                  </w:pPr>
                </w:p>
                <w:p w14:paraId="763AE059" w14:textId="77777777" w:rsidR="00F75762" w:rsidRPr="00EE5CB4" w:rsidRDefault="00F75762" w:rsidP="001D4AD3">
                  <w:pPr>
                    <w:rPr>
                      <w:b/>
                      <w:color w:val="1226AA"/>
                      <w:sz w:val="20"/>
                      <w:szCs w:val="20"/>
                    </w:rPr>
                  </w:pPr>
                  <w:proofErr w:type="spellStart"/>
                  <w:r w:rsidRPr="00EE5CB4">
                    <w:rPr>
                      <w:b/>
                      <w:color w:val="1226AA"/>
                      <w:sz w:val="20"/>
                      <w:szCs w:val="20"/>
                    </w:rPr>
                    <w:t>Working</w:t>
                  </w:r>
                  <w:proofErr w:type="spellEnd"/>
                  <w:r w:rsidRPr="00EE5CB4">
                    <w:rPr>
                      <w:b/>
                      <w:color w:val="1226AA"/>
                      <w:sz w:val="20"/>
                      <w:szCs w:val="20"/>
                    </w:rPr>
                    <w:t xml:space="preserve"> Papers</w:t>
                  </w:r>
                </w:p>
                <w:p w14:paraId="4BBDB75C" w14:textId="77777777" w:rsidR="00F75762" w:rsidRPr="00EE5CB4" w:rsidRDefault="00F75762" w:rsidP="001D4AD3">
                  <w:pPr>
                    <w:spacing w:line="240" w:lineRule="auto"/>
                    <w:rPr>
                      <w:b/>
                      <w:color w:val="1226AA"/>
                      <w:sz w:val="20"/>
                      <w:szCs w:val="20"/>
                    </w:rPr>
                  </w:pPr>
                </w:p>
                <w:p w14:paraId="626A2C36" w14:textId="77777777" w:rsidR="00EE5CB4" w:rsidRDefault="00EE5CB4" w:rsidP="00EE5CB4">
                  <w:pPr>
                    <w:spacing w:line="240" w:lineRule="auto"/>
                    <w:rPr>
                      <w:sz w:val="20"/>
                      <w:szCs w:val="20"/>
                      <w:lang w:val="en-US"/>
                    </w:rPr>
                  </w:pPr>
                  <w:hyperlink r:id="rId12" w:history="1">
                    <w:r w:rsidRPr="007F2A8D">
                      <w:rPr>
                        <w:rStyle w:val="Hyperlink"/>
                        <w:sz w:val="20"/>
                        <w:szCs w:val="20"/>
                        <w:lang w:val="en-US"/>
                      </w:rPr>
                      <w:t>827 - Untangling Illiquidity: Optimal Asset Allocation with Private Asset Classes</w:t>
                    </w:r>
                  </w:hyperlink>
                  <w:r>
                    <w:rPr>
                      <w:sz w:val="20"/>
                      <w:szCs w:val="20"/>
                      <w:lang w:val="en-US"/>
                    </w:rPr>
                    <w:br/>
                  </w:r>
                  <w:r w:rsidRPr="007F2A8D">
                    <w:rPr>
                      <w:sz w:val="20"/>
                      <w:szCs w:val="20"/>
                      <w:lang w:val="en-US"/>
                    </w:rPr>
                    <w:t>Daniel Dimitrov</w:t>
                  </w:r>
                  <w:r>
                    <w:rPr>
                      <w:sz w:val="20"/>
                      <w:szCs w:val="20"/>
                      <w:lang w:val="en-US"/>
                    </w:rPr>
                    <w:br/>
                  </w:r>
                </w:p>
                <w:p w14:paraId="1E2EF540" w14:textId="77777777" w:rsidR="00EE5CB4" w:rsidRPr="007F2A8D" w:rsidRDefault="00EE5CB4" w:rsidP="00EE5CB4">
                  <w:pPr>
                    <w:spacing w:line="240" w:lineRule="auto"/>
                    <w:rPr>
                      <w:lang w:val="en-US"/>
                    </w:rPr>
                  </w:pPr>
                  <w:hyperlink r:id="rId13" w:history="1">
                    <w:r w:rsidRPr="007F2A8D">
                      <w:rPr>
                        <w:rStyle w:val="Hyperlink"/>
                        <w:sz w:val="20"/>
                        <w:szCs w:val="20"/>
                        <w:lang w:val="en-US"/>
                      </w:rPr>
                      <w:t>826 - Quantitative easing and preferred habitat investors in the euro area bond market</w:t>
                    </w:r>
                  </w:hyperlink>
                  <w:r w:rsidRPr="007F2A8D">
                    <w:rPr>
                      <w:sz w:val="20"/>
                      <w:szCs w:val="20"/>
                      <w:lang w:val="en-US"/>
                    </w:rPr>
                    <w:br/>
                    <w:t>Martijn Boermans, Tomás Carrera de Souza, Robert Vermeulen</w:t>
                  </w:r>
                  <w:r w:rsidRPr="007F2A8D">
                    <w:rPr>
                      <w:lang w:val="en-US"/>
                    </w:rPr>
                    <w:br/>
                  </w:r>
                </w:p>
                <w:p w14:paraId="0A8365BB" w14:textId="77777777" w:rsidR="00EE5CB4" w:rsidRPr="00B965D7" w:rsidRDefault="00EE5CB4" w:rsidP="00EE5CB4">
                  <w:pPr>
                    <w:spacing w:line="240" w:lineRule="auto"/>
                    <w:rPr>
                      <w:sz w:val="20"/>
                      <w:szCs w:val="20"/>
                      <w:lang w:val="en-US"/>
                    </w:rPr>
                  </w:pPr>
                  <w:hyperlink r:id="rId14" w:history="1">
                    <w:r w:rsidRPr="00B965D7">
                      <w:rPr>
                        <w:rStyle w:val="Hyperlink"/>
                        <w:sz w:val="20"/>
                        <w:szCs w:val="20"/>
                        <w:lang w:val="en-US"/>
                      </w:rPr>
                      <w:t>825 - Consumption insurance and credit shocks</w:t>
                    </w:r>
                  </w:hyperlink>
                </w:p>
                <w:p w14:paraId="6DE2635D" w14:textId="77777777" w:rsidR="00EE5CB4" w:rsidRPr="00B965D7" w:rsidRDefault="00EE5CB4" w:rsidP="00EE5CB4">
                  <w:pPr>
                    <w:spacing w:line="240" w:lineRule="auto"/>
                    <w:rPr>
                      <w:sz w:val="20"/>
                      <w:szCs w:val="20"/>
                      <w:lang w:val="en-US"/>
                    </w:rPr>
                  </w:pPr>
                  <w:r w:rsidRPr="00B965D7">
                    <w:rPr>
                      <w:sz w:val="20"/>
                      <w:szCs w:val="20"/>
                      <w:lang w:val="en-US"/>
                    </w:rPr>
                    <w:t>Stefan Wöhrmüller</w:t>
                  </w:r>
                </w:p>
                <w:p w14:paraId="210ADBFA" w14:textId="77777777" w:rsidR="00EE5CB4" w:rsidRPr="00E408C6" w:rsidRDefault="00EE5CB4" w:rsidP="00EE5CB4">
                  <w:pPr>
                    <w:spacing w:line="240" w:lineRule="auto"/>
                    <w:rPr>
                      <w:lang w:val="en-US"/>
                    </w:rPr>
                  </w:pPr>
                </w:p>
                <w:p w14:paraId="38A5BC98" w14:textId="77777777" w:rsidR="00EE5CB4" w:rsidRDefault="00EE5CB4" w:rsidP="00EE5CB4">
                  <w:pPr>
                    <w:spacing w:line="240" w:lineRule="auto"/>
                    <w:rPr>
                      <w:rStyle w:val="Hyperlink"/>
                      <w:rFonts w:eastAsia="Times New Roman" w:cs="Times New Roman"/>
                      <w:sz w:val="20"/>
                      <w:szCs w:val="20"/>
                      <w:lang w:val="en-US"/>
                    </w:rPr>
                  </w:pPr>
                  <w:hyperlink r:id="rId15" w:history="1">
                    <w:r w:rsidRPr="00560202">
                      <w:rPr>
                        <w:rStyle w:val="Hyperlink"/>
                        <w:rFonts w:eastAsia="Times New Roman" w:cs="Times New Roman"/>
                        <w:sz w:val="20"/>
                        <w:szCs w:val="20"/>
                        <w:lang w:val="en-US"/>
                      </w:rPr>
                      <w:t>824 - Residual Mortgage Debt, Insurance, and Defaults in the Netherlands</w:t>
                    </w:r>
                  </w:hyperlink>
                </w:p>
                <w:p w14:paraId="4940E497" w14:textId="77777777" w:rsidR="00EE5CB4" w:rsidRPr="00575250" w:rsidRDefault="00EE5CB4" w:rsidP="00EE5CB4">
                  <w:pPr>
                    <w:spacing w:line="240" w:lineRule="auto"/>
                    <w:rPr>
                      <w:sz w:val="20"/>
                      <w:szCs w:val="20"/>
                      <w:lang w:val="pt-BR"/>
                    </w:rPr>
                  </w:pPr>
                  <w:r w:rsidRPr="00575250">
                    <w:rPr>
                      <w:sz w:val="20"/>
                      <w:szCs w:val="20"/>
                      <w:lang w:val="pt-BR"/>
                    </w:rPr>
                    <w:t>Madi Mangan, Mauro Mastrogiacomo, Hans Bloemen</w:t>
                  </w:r>
                </w:p>
                <w:p w14:paraId="598E58BC" w14:textId="77777777" w:rsidR="00EE5CB4" w:rsidRPr="00560202" w:rsidRDefault="00EE5CB4" w:rsidP="00EE5CB4">
                  <w:pPr>
                    <w:spacing w:line="240" w:lineRule="auto"/>
                    <w:rPr>
                      <w:rStyle w:val="Hyperlink"/>
                      <w:rFonts w:eastAsia="Times New Roman" w:cs="Times New Roman"/>
                      <w:sz w:val="20"/>
                      <w:szCs w:val="20"/>
                      <w:lang w:val="pt-BR"/>
                    </w:rPr>
                  </w:pPr>
                </w:p>
                <w:p w14:paraId="44EF0302" w14:textId="637421F1" w:rsidR="00EE5CB4" w:rsidRDefault="00EE5CB4" w:rsidP="00EE5CB4">
                  <w:pPr>
                    <w:spacing w:line="240" w:lineRule="auto"/>
                    <w:rPr>
                      <w:rStyle w:val="Hyperlink"/>
                      <w:rFonts w:eastAsia="Times New Roman" w:cs="Times New Roman"/>
                      <w:sz w:val="20"/>
                      <w:szCs w:val="20"/>
                      <w:lang w:val="en-US"/>
                    </w:rPr>
                  </w:pPr>
                  <w:hyperlink r:id="rId16" w:history="1">
                    <w:r w:rsidRPr="00253C36">
                      <w:rPr>
                        <w:rStyle w:val="Hyperlink"/>
                        <w:rFonts w:eastAsia="Times New Roman" w:cs="Times New Roman"/>
                        <w:sz w:val="20"/>
                        <w:szCs w:val="20"/>
                        <w:lang w:val="en-US"/>
                      </w:rPr>
                      <w:t>823 - Residual-debt insurance and mortgage repayments</w:t>
                    </w:r>
                  </w:hyperlink>
                </w:p>
                <w:p w14:paraId="20532DFC" w14:textId="77777777" w:rsidR="00EE5CB4" w:rsidRPr="00575250" w:rsidRDefault="00EE5CB4" w:rsidP="00EE5CB4">
                  <w:pPr>
                    <w:spacing w:line="240" w:lineRule="auto"/>
                    <w:rPr>
                      <w:sz w:val="20"/>
                      <w:szCs w:val="20"/>
                      <w:lang w:val="en-US"/>
                    </w:rPr>
                  </w:pPr>
                  <w:proofErr w:type="spellStart"/>
                  <w:r w:rsidRPr="00575250">
                    <w:rPr>
                      <w:sz w:val="20"/>
                      <w:szCs w:val="20"/>
                      <w:lang w:val="en-US"/>
                    </w:rPr>
                    <w:t>Yeorim</w:t>
                  </w:r>
                  <w:proofErr w:type="spellEnd"/>
                  <w:r w:rsidRPr="00575250">
                    <w:rPr>
                      <w:sz w:val="20"/>
                      <w:szCs w:val="20"/>
                      <w:lang w:val="en-US"/>
                    </w:rPr>
                    <w:t xml:space="preserve"> Kim, Mauro Mastrogiacomo</w:t>
                  </w:r>
                </w:p>
                <w:p w14:paraId="3217D040" w14:textId="77777777" w:rsidR="00EE5CB4" w:rsidRDefault="00EE5CB4" w:rsidP="00EE5CB4">
                  <w:pPr>
                    <w:spacing w:line="240" w:lineRule="auto"/>
                    <w:rPr>
                      <w:rStyle w:val="Hyperlink"/>
                      <w:rFonts w:eastAsia="Times New Roman" w:cs="Times New Roman"/>
                      <w:sz w:val="20"/>
                      <w:szCs w:val="20"/>
                      <w:lang w:val="en-US"/>
                    </w:rPr>
                  </w:pPr>
                </w:p>
                <w:p w14:paraId="569CE776" w14:textId="77777777" w:rsidR="00EE5CB4" w:rsidRDefault="00EE5CB4" w:rsidP="00EE5CB4">
                  <w:pPr>
                    <w:spacing w:line="240" w:lineRule="auto"/>
                    <w:rPr>
                      <w:rStyle w:val="Hyperlink"/>
                      <w:rFonts w:eastAsia="Times New Roman" w:cs="Times New Roman"/>
                      <w:sz w:val="20"/>
                      <w:szCs w:val="20"/>
                      <w:lang w:val="en-US"/>
                    </w:rPr>
                  </w:pPr>
                  <w:hyperlink r:id="rId17" w:history="1">
                    <w:r w:rsidRPr="00FC2E31">
                      <w:rPr>
                        <w:rStyle w:val="Hyperlink"/>
                        <w:rFonts w:eastAsia="Times New Roman" w:cs="Times New Roman"/>
                        <w:sz w:val="20"/>
                        <w:szCs w:val="20"/>
                        <w:lang w:val="en-US"/>
                      </w:rPr>
                      <w:t>822 - Large pension funds do not invest more effectively than smaller pension funds</w:t>
                    </w:r>
                  </w:hyperlink>
                </w:p>
                <w:p w14:paraId="5C688D41" w14:textId="77777777" w:rsidR="00EE5CB4" w:rsidRPr="00575250" w:rsidRDefault="00EE5CB4" w:rsidP="00EE5CB4">
                  <w:pPr>
                    <w:spacing w:line="240" w:lineRule="auto"/>
                    <w:rPr>
                      <w:sz w:val="20"/>
                      <w:szCs w:val="20"/>
                      <w:lang w:val="en-US"/>
                    </w:rPr>
                  </w:pPr>
                  <w:r w:rsidRPr="00575250">
                    <w:rPr>
                      <w:sz w:val="20"/>
                      <w:szCs w:val="20"/>
                      <w:lang w:val="en-US"/>
                    </w:rPr>
                    <w:t>Jacob Bikker, Jeroen Meringa</w:t>
                  </w:r>
                </w:p>
                <w:p w14:paraId="31FFEC54" w14:textId="77777777" w:rsidR="00EE5CB4" w:rsidRDefault="00EE5CB4" w:rsidP="00EE5CB4">
                  <w:pPr>
                    <w:spacing w:line="240" w:lineRule="auto"/>
                    <w:rPr>
                      <w:rStyle w:val="Hyperlink"/>
                      <w:rFonts w:eastAsia="Times New Roman" w:cs="Times New Roman"/>
                      <w:sz w:val="20"/>
                      <w:szCs w:val="20"/>
                      <w:lang w:val="en-US"/>
                    </w:rPr>
                  </w:pPr>
                </w:p>
                <w:p w14:paraId="421A13B4" w14:textId="77777777" w:rsidR="00EE5CB4" w:rsidRDefault="00EE5CB4" w:rsidP="00EE5CB4">
                  <w:pPr>
                    <w:spacing w:line="240" w:lineRule="auto"/>
                    <w:rPr>
                      <w:rStyle w:val="Hyperlink"/>
                      <w:rFonts w:eastAsia="Times New Roman" w:cs="Times New Roman"/>
                      <w:sz w:val="20"/>
                      <w:szCs w:val="20"/>
                      <w:lang w:val="en-US"/>
                    </w:rPr>
                  </w:pPr>
                  <w:hyperlink r:id="rId18" w:history="1">
                    <w:r w:rsidRPr="00FC2E31">
                      <w:rPr>
                        <w:rStyle w:val="Hyperlink"/>
                        <w:rFonts w:eastAsia="Times New Roman" w:cs="Times New Roman"/>
                        <w:sz w:val="20"/>
                        <w:szCs w:val="20"/>
                        <w:lang w:val="en-US"/>
                      </w:rPr>
                      <w:t>821 - Uncovering the Effects of Government Spending through Tax Foresight</w:t>
                    </w:r>
                  </w:hyperlink>
                </w:p>
                <w:p w14:paraId="7D72BB46" w14:textId="77777777" w:rsidR="00EE5CB4" w:rsidRPr="00575250" w:rsidRDefault="00EE5CB4" w:rsidP="00EE5CB4">
                  <w:pPr>
                    <w:spacing w:line="240" w:lineRule="auto"/>
                    <w:rPr>
                      <w:sz w:val="20"/>
                      <w:szCs w:val="20"/>
                      <w:lang w:val="pt-BR"/>
                    </w:rPr>
                  </w:pPr>
                  <w:r w:rsidRPr="00575250">
                    <w:rPr>
                      <w:sz w:val="20"/>
                      <w:szCs w:val="20"/>
                      <w:lang w:val="pt-BR"/>
                    </w:rPr>
                    <w:t>Guido Ascari, Anna Florio, Alessandro Gobbi</w:t>
                  </w:r>
                </w:p>
                <w:p w14:paraId="3587794C" w14:textId="77777777" w:rsidR="00EE5CB4" w:rsidRPr="00FC2E31" w:rsidRDefault="00EE5CB4" w:rsidP="00EE5CB4">
                  <w:pPr>
                    <w:spacing w:line="240" w:lineRule="auto"/>
                    <w:rPr>
                      <w:rStyle w:val="Hyperlink"/>
                      <w:rFonts w:eastAsia="Times New Roman" w:cs="Times New Roman"/>
                      <w:sz w:val="20"/>
                      <w:szCs w:val="20"/>
                      <w:lang w:val="pt-BR"/>
                    </w:rPr>
                  </w:pPr>
                </w:p>
                <w:p w14:paraId="29451EAB" w14:textId="77777777" w:rsidR="00EE5CB4" w:rsidRPr="00FC2E31" w:rsidRDefault="00EE5CB4" w:rsidP="00EE5CB4">
                  <w:pPr>
                    <w:spacing w:line="240" w:lineRule="auto"/>
                    <w:rPr>
                      <w:rFonts w:eastAsia="Times New Roman" w:cs="Times New Roman"/>
                      <w:color w:val="0000FF" w:themeColor="hyperlink"/>
                      <w:sz w:val="20"/>
                      <w:szCs w:val="20"/>
                      <w:u w:val="single"/>
                      <w:lang/>
                    </w:rPr>
                  </w:pPr>
                  <w:hyperlink r:id="rId19" w:history="1">
                    <w:r>
                      <w:rPr>
                        <w:rStyle w:val="Hyperlink"/>
                        <w:rFonts w:eastAsia="Times New Roman" w:cs="Times New Roman"/>
                        <w:sz w:val="20"/>
                        <w:szCs w:val="20"/>
                        <w:lang w:val="en-US"/>
                      </w:rPr>
                      <w:t>8</w:t>
                    </w:r>
                    <w:r w:rsidRPr="00FC2E31">
                      <w:rPr>
                        <w:rStyle w:val="Hyperlink"/>
                        <w:rFonts w:eastAsia="Times New Roman" w:cs="Times New Roman"/>
                        <w:sz w:val="20"/>
                        <w:szCs w:val="20"/>
                        <w:lang w:val="en-US"/>
                      </w:rPr>
                      <w:t xml:space="preserve">20 - </w:t>
                    </w:r>
                    <w:r w:rsidRPr="00FC2E31">
                      <w:rPr>
                        <w:rStyle w:val="Hyperlink"/>
                        <w:rFonts w:eastAsia="Times New Roman" w:cs="Times New Roman"/>
                        <w:sz w:val="20"/>
                        <w:szCs w:val="20"/>
                        <w:lang/>
                      </w:rPr>
                      <w:t>Fiscal Policy and Inflation in the Euro Area</w:t>
                    </w:r>
                  </w:hyperlink>
                </w:p>
                <w:p w14:paraId="5BB65997" w14:textId="77777777" w:rsidR="00EE5CB4" w:rsidRPr="00575250" w:rsidRDefault="00EE5CB4" w:rsidP="00EE5CB4">
                  <w:pPr>
                    <w:spacing w:line="240" w:lineRule="auto"/>
                    <w:rPr>
                      <w:sz w:val="20"/>
                      <w:szCs w:val="20"/>
                      <w:lang w:val="pt-BR"/>
                    </w:rPr>
                  </w:pPr>
                  <w:r w:rsidRPr="00575250">
                    <w:rPr>
                      <w:sz w:val="20"/>
                      <w:szCs w:val="20"/>
                      <w:lang w:val="pt-BR"/>
                    </w:rPr>
                    <w:t>Guido Ascari, Dennis Bonam, Lorenzo Mori, Andra Smadu</w:t>
                  </w:r>
                </w:p>
                <w:p w14:paraId="7D97DD07" w14:textId="77777777" w:rsidR="00EE5CB4" w:rsidRPr="00FC2E31" w:rsidRDefault="00EE5CB4" w:rsidP="00EE5CB4">
                  <w:pPr>
                    <w:spacing w:line="240" w:lineRule="auto"/>
                    <w:rPr>
                      <w:rStyle w:val="Hyperlink"/>
                      <w:rFonts w:eastAsia="Times New Roman" w:cs="Times New Roman"/>
                      <w:sz w:val="20"/>
                      <w:szCs w:val="20"/>
                      <w:lang w:val="pt-BR"/>
                    </w:rPr>
                  </w:pPr>
                </w:p>
                <w:p w14:paraId="46075A51" w14:textId="77777777" w:rsidR="00EE5CB4" w:rsidRDefault="00EE5CB4" w:rsidP="00EE5CB4">
                  <w:pPr>
                    <w:spacing w:line="240" w:lineRule="auto"/>
                    <w:rPr>
                      <w:rStyle w:val="Hyperlink"/>
                      <w:rFonts w:eastAsia="Times New Roman" w:cs="Times New Roman"/>
                      <w:sz w:val="20"/>
                      <w:szCs w:val="20"/>
                      <w:lang w:val="en-US"/>
                    </w:rPr>
                  </w:pPr>
                  <w:hyperlink r:id="rId20" w:history="1">
                    <w:r>
                      <w:rPr>
                        <w:rStyle w:val="Hyperlink"/>
                        <w:rFonts w:eastAsia="Times New Roman" w:cs="Times New Roman"/>
                        <w:sz w:val="20"/>
                        <w:szCs w:val="20"/>
                        <w:lang w:val="en-US"/>
                      </w:rPr>
                      <w:t>8</w:t>
                    </w:r>
                    <w:r w:rsidRPr="00FC2E31">
                      <w:rPr>
                        <w:rStyle w:val="Hyperlink"/>
                        <w:rFonts w:eastAsia="Times New Roman" w:cs="Times New Roman"/>
                        <w:sz w:val="20"/>
                        <w:szCs w:val="20"/>
                        <w:lang w:val="en-US"/>
                      </w:rPr>
                      <w:t>19 - DFROG: A nowcasting model for GDP growth</w:t>
                    </w:r>
                  </w:hyperlink>
                </w:p>
                <w:p w14:paraId="2320AA2C" w14:textId="77777777" w:rsidR="00EE5CB4" w:rsidRPr="00FC2E31" w:rsidRDefault="00EE5CB4" w:rsidP="00EE5CB4">
                  <w:pPr>
                    <w:spacing w:line="240" w:lineRule="auto"/>
                    <w:rPr>
                      <w:sz w:val="20"/>
                      <w:szCs w:val="20"/>
                    </w:rPr>
                  </w:pPr>
                  <w:r w:rsidRPr="00FC2E31">
                    <w:rPr>
                      <w:sz w:val="20"/>
                      <w:szCs w:val="20"/>
                    </w:rPr>
                    <w:t>Dorinth van Dijk, Mick van Rooijen, Jasper de Winter</w:t>
                  </w:r>
                </w:p>
                <w:p w14:paraId="372D1E2C" w14:textId="77777777" w:rsidR="00EE5CB4" w:rsidRPr="00FC2E31" w:rsidRDefault="00EE5CB4" w:rsidP="00EE5CB4">
                  <w:pPr>
                    <w:spacing w:line="240" w:lineRule="auto"/>
                    <w:rPr>
                      <w:rStyle w:val="Hyperlink"/>
                      <w:rFonts w:eastAsia="Times New Roman" w:cs="Times New Roman"/>
                      <w:sz w:val="20"/>
                      <w:szCs w:val="20"/>
                    </w:rPr>
                  </w:pPr>
                </w:p>
                <w:p w14:paraId="58EB3CB3" w14:textId="77777777" w:rsidR="00EE5CB4" w:rsidRDefault="00EE5CB4" w:rsidP="00EE5CB4">
                  <w:pPr>
                    <w:spacing w:line="240" w:lineRule="auto"/>
                    <w:rPr>
                      <w:rStyle w:val="Hyperlink"/>
                      <w:rFonts w:eastAsia="Times New Roman" w:cs="Times New Roman"/>
                      <w:sz w:val="20"/>
                      <w:szCs w:val="20"/>
                      <w:lang w:val="en-US"/>
                    </w:rPr>
                  </w:pPr>
                  <w:hyperlink r:id="rId21" w:history="1">
                    <w:r w:rsidRPr="00FC2E31">
                      <w:rPr>
                        <w:rStyle w:val="Hyperlink"/>
                        <w:rFonts w:eastAsia="Times New Roman" w:cs="Times New Roman"/>
                        <w:sz w:val="20"/>
                        <w:szCs w:val="20"/>
                        <w:lang w:val="en-US"/>
                      </w:rPr>
                      <w:t>818 - Scenario discovery to address deep uncertainty in monetary policy</w:t>
                    </w:r>
                  </w:hyperlink>
                </w:p>
                <w:p w14:paraId="53847A24" w14:textId="77777777" w:rsidR="00EE5CB4" w:rsidRPr="00FC2E31" w:rsidRDefault="00EE5CB4" w:rsidP="00EE5CB4">
                  <w:pPr>
                    <w:spacing w:line="240" w:lineRule="auto"/>
                    <w:rPr>
                      <w:sz w:val="20"/>
                      <w:szCs w:val="20"/>
                    </w:rPr>
                  </w:pPr>
                  <w:proofErr w:type="spellStart"/>
                  <w:r w:rsidRPr="00FC2E31">
                    <w:rPr>
                      <w:sz w:val="20"/>
                      <w:szCs w:val="20"/>
                    </w:rPr>
                    <w:t>Chamon</w:t>
                  </w:r>
                  <w:proofErr w:type="spellEnd"/>
                  <w:r w:rsidRPr="00FC2E31">
                    <w:rPr>
                      <w:sz w:val="20"/>
                      <w:szCs w:val="20"/>
                    </w:rPr>
                    <w:t xml:space="preserve"> </w:t>
                  </w:r>
                  <w:proofErr w:type="spellStart"/>
                  <w:r w:rsidRPr="00FC2E31">
                    <w:rPr>
                      <w:sz w:val="20"/>
                      <w:szCs w:val="20"/>
                    </w:rPr>
                    <w:t>Wieles</w:t>
                  </w:r>
                  <w:proofErr w:type="spellEnd"/>
                  <w:r w:rsidRPr="00FC2E31">
                    <w:rPr>
                      <w:sz w:val="20"/>
                      <w:szCs w:val="20"/>
                    </w:rPr>
                    <w:t>, Jan Kwakkel, Willem L. Auping, Jan Willem van den End</w:t>
                  </w:r>
                </w:p>
                <w:p w14:paraId="1C4E8C20" w14:textId="77777777" w:rsidR="00EE5CB4" w:rsidRPr="00FC2E31" w:rsidRDefault="00EE5CB4" w:rsidP="00EE5CB4">
                  <w:pPr>
                    <w:spacing w:line="240" w:lineRule="auto"/>
                    <w:rPr>
                      <w:rStyle w:val="Hyperlink"/>
                      <w:rFonts w:eastAsia="Times New Roman" w:cs="Times New Roman"/>
                      <w:sz w:val="20"/>
                      <w:szCs w:val="20"/>
                    </w:rPr>
                  </w:pPr>
                </w:p>
                <w:p w14:paraId="0C626153" w14:textId="77777777" w:rsidR="00EE5CB4" w:rsidRPr="00575250" w:rsidRDefault="00EE5CB4" w:rsidP="00EE5CB4">
                  <w:pPr>
                    <w:spacing w:line="240" w:lineRule="auto"/>
                    <w:rPr>
                      <w:rStyle w:val="Hyperlink"/>
                      <w:rFonts w:eastAsia="Times New Roman" w:cs="Times New Roman"/>
                      <w:sz w:val="20"/>
                      <w:szCs w:val="20"/>
                    </w:rPr>
                  </w:pPr>
                  <w:hyperlink r:id="rId22" w:history="1">
                    <w:r w:rsidRPr="00575250">
                      <w:rPr>
                        <w:rStyle w:val="Hyperlink"/>
                        <w:rFonts w:eastAsia="Times New Roman" w:cs="Times New Roman"/>
                        <w:sz w:val="20"/>
                        <w:szCs w:val="20"/>
                      </w:rPr>
                      <w:t xml:space="preserve">817 - </w:t>
                    </w:r>
                    <w:proofErr w:type="spellStart"/>
                    <w:r w:rsidRPr="00575250">
                      <w:rPr>
                        <w:rStyle w:val="Hyperlink"/>
                        <w:rFonts w:eastAsia="Times New Roman" w:cs="Times New Roman"/>
                        <w:sz w:val="20"/>
                        <w:szCs w:val="20"/>
                      </w:rPr>
                      <w:t>Climate-Linked</w:t>
                    </w:r>
                    <w:proofErr w:type="spellEnd"/>
                    <w:r w:rsidRPr="00575250">
                      <w:rPr>
                        <w:rStyle w:val="Hyperlink"/>
                        <w:rFonts w:eastAsia="Times New Roman" w:cs="Times New Roman"/>
                        <w:sz w:val="20"/>
                        <w:szCs w:val="20"/>
                      </w:rPr>
                      <w:t xml:space="preserve"> </w:t>
                    </w:r>
                    <w:proofErr w:type="spellStart"/>
                    <w:r w:rsidRPr="00575250">
                      <w:rPr>
                        <w:rStyle w:val="Hyperlink"/>
                        <w:rFonts w:eastAsia="Times New Roman" w:cs="Times New Roman"/>
                        <w:sz w:val="20"/>
                        <w:szCs w:val="20"/>
                      </w:rPr>
                      <w:t>Bonds</w:t>
                    </w:r>
                    <w:proofErr w:type="spellEnd"/>
                  </w:hyperlink>
                </w:p>
                <w:p w14:paraId="353C5B62" w14:textId="77777777" w:rsidR="00EE5CB4" w:rsidRPr="00FC2E31" w:rsidRDefault="00EE5CB4" w:rsidP="00EE5CB4">
                  <w:pPr>
                    <w:spacing w:line="240" w:lineRule="auto"/>
                  </w:pPr>
                  <w:r w:rsidRPr="00FC2E31">
                    <w:rPr>
                      <w:sz w:val="20"/>
                      <w:szCs w:val="20"/>
                    </w:rPr>
                    <w:t>Dirk Broeders, Daniel Dimitrov, Niek Verhoeven</w:t>
                  </w:r>
                </w:p>
                <w:p w14:paraId="678A9B36" w14:textId="77777777" w:rsidR="00EE5CB4" w:rsidRDefault="00EE5CB4" w:rsidP="00EE5CB4">
                  <w:pPr>
                    <w:spacing w:line="240" w:lineRule="auto"/>
                    <w:rPr>
                      <w:rStyle w:val="Hyperlink"/>
                      <w:rFonts w:eastAsia="Times New Roman" w:cs="Times New Roman"/>
                      <w:sz w:val="20"/>
                      <w:szCs w:val="20"/>
                    </w:rPr>
                  </w:pPr>
                </w:p>
                <w:p w14:paraId="4B7153F0" w14:textId="77777777" w:rsidR="00EE5CB4" w:rsidRPr="00FC2E31" w:rsidRDefault="00EE5CB4" w:rsidP="00EE5CB4">
                  <w:pPr>
                    <w:spacing w:line="240" w:lineRule="auto"/>
                    <w:rPr>
                      <w:rStyle w:val="Hyperlink"/>
                      <w:rFonts w:eastAsia="Times New Roman" w:cs="Times New Roman"/>
                      <w:sz w:val="20"/>
                      <w:szCs w:val="20"/>
                      <w:lang w:val="en-US"/>
                    </w:rPr>
                  </w:pPr>
                  <w:hyperlink r:id="rId23" w:history="1">
                    <w:r w:rsidRPr="00FC2E31">
                      <w:rPr>
                        <w:rStyle w:val="Hyperlink"/>
                        <w:rFonts w:eastAsia="Times New Roman" w:cs="Times New Roman"/>
                        <w:sz w:val="20"/>
                        <w:szCs w:val="20"/>
                        <w:lang w:val="en-US"/>
                      </w:rPr>
                      <w:t>816 - Green Transition in the Euro Area: Domestic and Global Factors</w:t>
                    </w:r>
                  </w:hyperlink>
                </w:p>
                <w:p w14:paraId="55ADF88D" w14:textId="77777777" w:rsidR="00EE5CB4" w:rsidRPr="00575250" w:rsidRDefault="00EE5CB4" w:rsidP="00EE5CB4">
                  <w:pPr>
                    <w:spacing w:line="240" w:lineRule="auto"/>
                    <w:rPr>
                      <w:sz w:val="20"/>
                      <w:szCs w:val="20"/>
                      <w:lang w:val="pt-BR"/>
                    </w:rPr>
                  </w:pPr>
                  <w:r w:rsidRPr="00575250">
                    <w:rPr>
                      <w:sz w:val="20"/>
                      <w:szCs w:val="20"/>
                      <w:lang w:val="pt-BR"/>
                    </w:rPr>
                    <w:t>Pablo Garcia, Pascal Jacquinot, Črt Lenarčič, Kostas Mavromatis, Niki Papadopoulou</w:t>
                  </w:r>
                </w:p>
                <w:p w14:paraId="319FC923" w14:textId="7D223B88" w:rsidR="00F75762" w:rsidRPr="00EE5CB4" w:rsidRDefault="00E02F47" w:rsidP="001D4AD3">
                  <w:pPr>
                    <w:rPr>
                      <w:b/>
                      <w:color w:val="1226AA"/>
                      <w:sz w:val="20"/>
                      <w:szCs w:val="20"/>
                      <w:lang w:val="en-US"/>
                    </w:rPr>
                  </w:pPr>
                  <w:r w:rsidRPr="00EE5CB4">
                    <w:rPr>
                      <w:rFonts w:eastAsia="Times New Roman" w:cs="Times New Roman"/>
                      <w:sz w:val="20"/>
                      <w:szCs w:val="20"/>
                      <w:lang w:val="en-US"/>
                    </w:rPr>
                    <w:br/>
                  </w:r>
                  <w:r w:rsidR="00F75762" w:rsidRPr="00EE5CB4">
                    <w:rPr>
                      <w:b/>
                      <w:color w:val="1226AA"/>
                      <w:sz w:val="20"/>
                      <w:szCs w:val="20"/>
                      <w:lang w:val="en-US"/>
                    </w:rPr>
                    <w:t>DNB Analyses</w:t>
                  </w:r>
                </w:p>
                <w:p w14:paraId="57F153C0" w14:textId="77777777" w:rsidR="007334FC" w:rsidRPr="00EE5CB4" w:rsidRDefault="007334FC" w:rsidP="001D4AD3">
                  <w:pPr>
                    <w:rPr>
                      <w:b/>
                      <w:color w:val="1226AA"/>
                      <w:sz w:val="20"/>
                      <w:szCs w:val="20"/>
                      <w:lang w:val="en-US"/>
                    </w:rPr>
                  </w:pPr>
                </w:p>
                <w:p w14:paraId="54D13702" w14:textId="77777777" w:rsidR="00EE5CB4" w:rsidRDefault="00EE5CB4" w:rsidP="00EE5CB4">
                  <w:pPr>
                    <w:spacing w:line="240" w:lineRule="auto"/>
                    <w:rPr>
                      <w:sz w:val="20"/>
                      <w:szCs w:val="20"/>
                      <w:lang/>
                    </w:rPr>
                  </w:pPr>
                  <w:hyperlink r:id="rId24" w:history="1">
                    <w:r w:rsidRPr="00560202">
                      <w:rPr>
                        <w:rStyle w:val="Hyperlink"/>
                        <w:sz w:val="20"/>
                        <w:szCs w:val="20"/>
                        <w:lang/>
                      </w:rPr>
                      <w:t>A look at post-retirement income</w:t>
                    </w:r>
                  </w:hyperlink>
                </w:p>
                <w:p w14:paraId="793838F1" w14:textId="77777777" w:rsidR="00EE5CB4" w:rsidRPr="00560202" w:rsidRDefault="00EE5CB4" w:rsidP="00EE5CB4">
                  <w:pPr>
                    <w:spacing w:line="240" w:lineRule="auto"/>
                    <w:rPr>
                      <w:sz w:val="20"/>
                      <w:szCs w:val="20"/>
                      <w:lang/>
                    </w:rPr>
                  </w:pPr>
                  <w:r w:rsidRPr="00560202">
                    <w:rPr>
                      <w:sz w:val="20"/>
                      <w:szCs w:val="20"/>
                      <w:lang/>
                    </w:rPr>
                    <w:t>Cindy Biesenbeek</w:t>
                  </w:r>
                  <w:r>
                    <w:rPr>
                      <w:sz w:val="20"/>
                      <w:szCs w:val="20"/>
                      <w:lang/>
                    </w:rPr>
                    <w:t xml:space="preserve">, </w:t>
                  </w:r>
                  <w:r w:rsidRPr="00560202">
                    <w:rPr>
                      <w:sz w:val="20"/>
                      <w:szCs w:val="20"/>
                      <w:lang/>
                    </w:rPr>
                    <w:t>Jim Been</w:t>
                  </w:r>
                  <w:r>
                    <w:rPr>
                      <w:sz w:val="20"/>
                      <w:szCs w:val="20"/>
                      <w:lang/>
                    </w:rPr>
                    <w:t xml:space="preserve">, </w:t>
                  </w:r>
                  <w:r w:rsidRPr="00560202">
                    <w:rPr>
                      <w:sz w:val="20"/>
                      <w:szCs w:val="20"/>
                      <w:lang/>
                    </w:rPr>
                    <w:t>Koen Caminada</w:t>
                  </w:r>
                  <w:r>
                    <w:rPr>
                      <w:sz w:val="20"/>
                      <w:szCs w:val="20"/>
                      <w:lang/>
                    </w:rPr>
                    <w:t xml:space="preserve">, </w:t>
                  </w:r>
                  <w:r w:rsidRPr="00560202">
                    <w:rPr>
                      <w:sz w:val="20"/>
                      <w:szCs w:val="20"/>
                      <w:lang/>
                    </w:rPr>
                    <w:t>Kees Goudswaard</w:t>
                  </w:r>
                  <w:r>
                    <w:rPr>
                      <w:sz w:val="20"/>
                      <w:szCs w:val="20"/>
                      <w:lang/>
                    </w:rPr>
                    <w:t xml:space="preserve">, </w:t>
                  </w:r>
                  <w:r w:rsidRPr="00560202">
                    <w:rPr>
                      <w:sz w:val="20"/>
                      <w:szCs w:val="20"/>
                      <w:lang/>
                    </w:rPr>
                    <w:t>Marike Knoef</w:t>
                  </w:r>
                </w:p>
                <w:p w14:paraId="47403F43" w14:textId="77777777" w:rsidR="00157638" w:rsidRPr="00EE5CB4" w:rsidRDefault="00157638" w:rsidP="00157638">
                  <w:pPr>
                    <w:spacing w:line="240" w:lineRule="auto"/>
                    <w:rPr>
                      <w:rFonts w:eastAsia="Calibri" w:cs="Times New Roman"/>
                      <w:sz w:val="17"/>
                      <w:szCs w:val="17"/>
                      <w:lang/>
                    </w:rPr>
                  </w:pPr>
                </w:p>
                <w:p w14:paraId="255455AA" w14:textId="77777777" w:rsidR="00F75762" w:rsidRPr="00B6267B" w:rsidRDefault="00F75762" w:rsidP="001D4AD3">
                  <w:pPr>
                    <w:rPr>
                      <w:color w:val="1226AA"/>
                      <w:sz w:val="20"/>
                      <w:szCs w:val="20"/>
                      <w:lang w:val="en-US"/>
                    </w:rPr>
                  </w:pPr>
                  <w:r w:rsidRPr="00B6267B">
                    <w:rPr>
                      <w:b/>
                      <w:color w:val="1226AA"/>
                      <w:sz w:val="20"/>
                      <w:szCs w:val="20"/>
                      <w:lang w:val="en-US"/>
                    </w:rPr>
                    <w:t>Published journal articles</w:t>
                  </w:r>
                </w:p>
                <w:p w14:paraId="0487171D" w14:textId="7A8AD790" w:rsidR="00253C36" w:rsidRPr="00253C36" w:rsidRDefault="00EE5CB4" w:rsidP="00253C36">
                  <w:pPr>
                    <w:spacing w:line="240" w:lineRule="auto"/>
                    <w:rPr>
                      <w:sz w:val="20"/>
                      <w:szCs w:val="20"/>
                      <w:lang w:val="en-US"/>
                    </w:rPr>
                  </w:pPr>
                  <w:r w:rsidRPr="00253C36">
                    <w:rPr>
                      <w:lang w:val="en-US"/>
                    </w:rPr>
                    <w:br/>
                  </w:r>
                  <w:hyperlink r:id="rId25" w:history="1">
                    <w:r w:rsidR="00253C36" w:rsidRPr="00253C36">
                      <w:rPr>
                        <w:rStyle w:val="Hyperlink"/>
                        <w:sz w:val="20"/>
                        <w:szCs w:val="20"/>
                        <w:lang w:val="en-US"/>
                      </w:rPr>
                      <w:t>The effect of unemployment, housing tenure and commuting distance on interregional migration in the Netherlands</w:t>
                    </w:r>
                  </w:hyperlink>
                </w:p>
                <w:p w14:paraId="4D8E6882" w14:textId="77777777" w:rsidR="00253C36" w:rsidRPr="00253C36" w:rsidRDefault="00253C36" w:rsidP="00253C36">
                  <w:pPr>
                    <w:spacing w:line="240" w:lineRule="auto"/>
                    <w:rPr>
                      <w:sz w:val="20"/>
                      <w:szCs w:val="20"/>
                      <w:lang w:val="en-US"/>
                    </w:rPr>
                  </w:pPr>
                  <w:r w:rsidRPr="00253C36">
                    <w:rPr>
                      <w:sz w:val="20"/>
                      <w:szCs w:val="20"/>
                      <w:lang w:val="en-US"/>
                    </w:rPr>
                    <w:t>Cindy Biesenbeek</w:t>
                  </w:r>
                </w:p>
                <w:p w14:paraId="5EFA4265" w14:textId="46AD9873" w:rsidR="00EE5CB4" w:rsidRPr="00057220" w:rsidRDefault="00253C36" w:rsidP="00253C36">
                  <w:pPr>
                    <w:spacing w:line="240" w:lineRule="auto"/>
                    <w:rPr>
                      <w:sz w:val="20"/>
                      <w:szCs w:val="20"/>
                      <w:lang/>
                    </w:rPr>
                  </w:pPr>
                  <w:r w:rsidRPr="00253C36">
                    <w:rPr>
                      <w:sz w:val="20"/>
                      <w:szCs w:val="20"/>
                      <w:lang w:val="en-US"/>
                    </w:rPr>
                    <w:t>Regional Studies (2025), 1–14.</w:t>
                  </w:r>
                  <w:r>
                    <w:br/>
                  </w:r>
                  <w:r>
                    <w:br/>
                  </w:r>
                  <w:hyperlink r:id="rId26" w:history="1">
                    <w:r w:rsidR="00EE5CB4" w:rsidRPr="00B965D7">
                      <w:rPr>
                        <w:rStyle w:val="Hyperlink"/>
                        <w:sz w:val="20"/>
                        <w:szCs w:val="20"/>
                        <w:lang w:val="en-US"/>
                      </w:rPr>
                      <w:t>Consumer participation in the credit market during the COVID-19 pandemic and beyond</w:t>
                    </w:r>
                  </w:hyperlink>
                  <w:r w:rsidR="00EE5CB4">
                    <w:rPr>
                      <w:sz w:val="20"/>
                      <w:szCs w:val="20"/>
                      <w:lang w:val="en-US"/>
                    </w:rPr>
                    <w:br/>
                  </w:r>
                  <w:r w:rsidR="00EE5CB4" w:rsidRPr="00B965D7">
                    <w:rPr>
                      <w:sz w:val="20"/>
                      <w:szCs w:val="20"/>
                      <w:lang w:val="en-US"/>
                    </w:rPr>
                    <w:t xml:space="preserve">Evangelos </w:t>
                  </w:r>
                  <w:proofErr w:type="spellStart"/>
                  <w:r w:rsidR="00EE5CB4" w:rsidRPr="00B965D7">
                    <w:rPr>
                      <w:sz w:val="20"/>
                      <w:szCs w:val="20"/>
                      <w:lang w:val="en-US"/>
                    </w:rPr>
                    <w:t>Charalambakis</w:t>
                  </w:r>
                  <w:proofErr w:type="spellEnd"/>
                  <w:r w:rsidR="00EE5CB4" w:rsidRPr="00B965D7">
                    <w:rPr>
                      <w:sz w:val="20"/>
                      <w:szCs w:val="20"/>
                      <w:lang w:val="en-US"/>
                    </w:rPr>
                    <w:t xml:space="preserve">, Federica Teppa, Athanasios </w:t>
                  </w:r>
                  <w:proofErr w:type="spellStart"/>
                  <w:r w:rsidR="00EE5CB4" w:rsidRPr="00B965D7">
                    <w:rPr>
                      <w:sz w:val="20"/>
                      <w:szCs w:val="20"/>
                      <w:lang w:val="en-US"/>
                    </w:rPr>
                    <w:t>Tsiortas</w:t>
                  </w:r>
                  <w:proofErr w:type="spellEnd"/>
                  <w:r w:rsidR="00EE5CB4">
                    <w:rPr>
                      <w:sz w:val="20"/>
                      <w:szCs w:val="20"/>
                      <w:lang w:val="en-US"/>
                    </w:rPr>
                    <w:br/>
                  </w:r>
                  <w:r w:rsidR="00EE5CB4" w:rsidRPr="00B965D7">
                    <w:rPr>
                      <w:sz w:val="20"/>
                      <w:szCs w:val="20"/>
                      <w:lang w:val="en-US"/>
                    </w:rPr>
                    <w:t>Oxford Economic Papers, 77(1), 119–143.</w:t>
                  </w:r>
                  <w:r w:rsidR="00EE5CB4">
                    <w:rPr>
                      <w:sz w:val="20"/>
                      <w:szCs w:val="20"/>
                      <w:lang w:val="en-US"/>
                    </w:rPr>
                    <w:br/>
                  </w:r>
                  <w:r>
                    <w:br/>
                  </w:r>
                  <w:hyperlink r:id="rId27" w:history="1">
                    <w:r w:rsidR="00EE5CB4" w:rsidRPr="00057220">
                      <w:rPr>
                        <w:rStyle w:val="Hyperlink"/>
                        <w:sz w:val="20"/>
                        <w:szCs w:val="20"/>
                        <w:lang/>
                      </w:rPr>
                      <w:t>Inflation expectations anchoring: new insights from micro evidence of a survey at high-frequency and of distributions</w:t>
                    </w:r>
                  </w:hyperlink>
                  <w:r w:rsidR="00EE5CB4" w:rsidRPr="00057220">
                    <w:rPr>
                      <w:sz w:val="20"/>
                      <w:szCs w:val="20"/>
                      <w:lang/>
                    </w:rPr>
                    <w:br/>
                    <w:t>Gabriele Galati, Nikos Apokoritis and Richhild Moessner</w:t>
                  </w:r>
                  <w:r w:rsidR="00EE5CB4" w:rsidRPr="00057220">
                    <w:rPr>
                      <w:sz w:val="20"/>
                      <w:szCs w:val="20"/>
                      <w:lang/>
                    </w:rPr>
                    <w:br/>
                    <w:t>International Journal of Central Banking</w:t>
                  </w:r>
                  <w:r>
                    <w:rPr>
                      <w:sz w:val="20"/>
                      <w:szCs w:val="20"/>
                      <w:lang/>
                    </w:rPr>
                    <w:t xml:space="preserve"> </w:t>
                  </w:r>
                  <w:r w:rsidRPr="00253C36">
                    <w:rPr>
                      <w:sz w:val="20"/>
                      <w:szCs w:val="20"/>
                      <w:lang/>
                    </w:rPr>
                    <w:t>21.1 (2025): 201-234</w:t>
                  </w:r>
                </w:p>
                <w:p w14:paraId="41D20571" w14:textId="0CBE3F02" w:rsidR="00EE5CB4" w:rsidRPr="00100011" w:rsidRDefault="00253C36" w:rsidP="00EE5CB4">
                  <w:pPr>
                    <w:spacing w:line="240" w:lineRule="auto"/>
                    <w:rPr>
                      <w:sz w:val="20"/>
                      <w:szCs w:val="20"/>
                      <w:lang w:val="en-US"/>
                    </w:rPr>
                  </w:pPr>
                  <w:r>
                    <w:br/>
                  </w:r>
                  <w:hyperlink r:id="rId28" w:history="1">
                    <w:r w:rsidR="00EE5CB4" w:rsidRPr="00100011">
                      <w:rPr>
                        <w:rStyle w:val="Hyperlink"/>
                        <w:sz w:val="20"/>
                        <w:szCs w:val="20"/>
                        <w:lang w:val="en-US"/>
                      </w:rPr>
                      <w:t>The association of high perceived inflation with trust in national politics and central banks</w:t>
                    </w:r>
                  </w:hyperlink>
                </w:p>
                <w:p w14:paraId="31279758" w14:textId="77777777" w:rsidR="00EE5CB4" w:rsidRPr="00100011" w:rsidRDefault="00EE5CB4" w:rsidP="00EE5CB4">
                  <w:pPr>
                    <w:spacing w:line="240" w:lineRule="auto"/>
                    <w:rPr>
                      <w:sz w:val="20"/>
                      <w:szCs w:val="20"/>
                    </w:rPr>
                  </w:pPr>
                  <w:r w:rsidRPr="00100011">
                    <w:rPr>
                      <w:sz w:val="20"/>
                      <w:szCs w:val="20"/>
                    </w:rPr>
                    <w:t xml:space="preserve">Carin van der Cruijsen, Jakob de Haan </w:t>
                  </w:r>
                  <w:proofErr w:type="spellStart"/>
                  <w:r w:rsidRPr="00100011">
                    <w:rPr>
                      <w:sz w:val="20"/>
                      <w:szCs w:val="20"/>
                    </w:rPr>
                    <w:t>and</w:t>
                  </w:r>
                  <w:proofErr w:type="spellEnd"/>
                  <w:r w:rsidRPr="00100011">
                    <w:rPr>
                      <w:sz w:val="20"/>
                      <w:szCs w:val="20"/>
                    </w:rPr>
                    <w:t xml:space="preserve"> Maarten van Rooij</w:t>
                  </w:r>
                </w:p>
                <w:p w14:paraId="56E5D5E5" w14:textId="77777777" w:rsidR="00EE5CB4" w:rsidRPr="00100011" w:rsidRDefault="00EE5CB4" w:rsidP="00EE5CB4">
                  <w:pPr>
                    <w:spacing w:line="240" w:lineRule="auto"/>
                    <w:rPr>
                      <w:sz w:val="20"/>
                      <w:szCs w:val="20"/>
                      <w:lang w:val="en-US"/>
                    </w:rPr>
                  </w:pPr>
                  <w:r w:rsidRPr="00253C36">
                    <w:rPr>
                      <w:sz w:val="20"/>
                      <w:szCs w:val="20"/>
                      <w:lang w:val="en-US"/>
                    </w:rPr>
                    <w:t>Journal of Banking and Finance</w:t>
                  </w:r>
                  <w:r w:rsidRPr="00100011">
                    <w:rPr>
                      <w:sz w:val="20"/>
                      <w:szCs w:val="20"/>
                      <w:lang w:val="en-US"/>
                    </w:rPr>
                    <w:t>, 171, 107368</w:t>
                  </w:r>
                </w:p>
                <w:p w14:paraId="4A4BA49B" w14:textId="77777777" w:rsidR="00EE5CB4" w:rsidRPr="00100011" w:rsidRDefault="00EE5CB4" w:rsidP="00EE5CB4">
                  <w:pPr>
                    <w:spacing w:line="240" w:lineRule="auto"/>
                    <w:rPr>
                      <w:sz w:val="20"/>
                      <w:szCs w:val="20"/>
                      <w:lang w:val="en-US"/>
                    </w:rPr>
                  </w:pPr>
                </w:p>
                <w:p w14:paraId="52F6B629" w14:textId="77777777" w:rsidR="00EE5CB4" w:rsidRPr="009953C3" w:rsidRDefault="00EE5CB4" w:rsidP="00EE5CB4">
                  <w:pPr>
                    <w:spacing w:line="240" w:lineRule="auto"/>
                    <w:rPr>
                      <w:sz w:val="20"/>
                      <w:szCs w:val="20"/>
                      <w:lang/>
                    </w:rPr>
                  </w:pPr>
                  <w:hyperlink r:id="rId29" w:history="1">
                    <w:r w:rsidRPr="009953C3">
                      <w:rPr>
                        <w:rStyle w:val="Hyperlink"/>
                        <w:sz w:val="20"/>
                        <w:szCs w:val="20"/>
                        <w:lang/>
                      </w:rPr>
                      <w:t>Market forces in healthcare insurance: the impact of healthcare reform on regulated competition revisited</w:t>
                    </w:r>
                  </w:hyperlink>
                  <w:r w:rsidRPr="009953C3">
                    <w:rPr>
                      <w:sz w:val="20"/>
                      <w:szCs w:val="20"/>
                      <w:lang/>
                    </w:rPr>
                    <w:br/>
                    <w:t>Jacob Bikker and Jack Bekooij</w:t>
                  </w:r>
                  <w:r w:rsidRPr="009953C3">
                    <w:rPr>
                      <w:sz w:val="20"/>
                      <w:szCs w:val="20"/>
                      <w:lang/>
                    </w:rPr>
                    <w:br/>
                    <w:t>International Journal of Finance and Economics, 2024, 29 (4), 4303–4318.</w:t>
                  </w:r>
                </w:p>
                <w:p w14:paraId="5DB7134B" w14:textId="77777777" w:rsidR="00EE5CB4" w:rsidRPr="00100011" w:rsidRDefault="00EE5CB4" w:rsidP="00EE5CB4">
                  <w:pPr>
                    <w:spacing w:line="240" w:lineRule="auto"/>
                    <w:rPr>
                      <w:sz w:val="20"/>
                      <w:szCs w:val="20"/>
                      <w:lang/>
                    </w:rPr>
                  </w:pPr>
                </w:p>
                <w:p w14:paraId="536BFA43" w14:textId="77777777" w:rsidR="00EE5CB4" w:rsidRPr="009953C3" w:rsidRDefault="00EE5CB4" w:rsidP="00EE5CB4">
                  <w:pPr>
                    <w:spacing w:line="240" w:lineRule="auto"/>
                    <w:rPr>
                      <w:sz w:val="20"/>
                      <w:szCs w:val="20"/>
                      <w:lang/>
                    </w:rPr>
                  </w:pPr>
                  <w:hyperlink r:id="rId30" w:history="1">
                    <w:r w:rsidRPr="009953C3">
                      <w:rPr>
                        <w:rStyle w:val="Hyperlink"/>
                        <w:sz w:val="20"/>
                        <w:szCs w:val="20"/>
                        <w:lang/>
                      </w:rPr>
                      <w:t>Should developed economies manage international capital flows?</w:t>
                    </w:r>
                  </w:hyperlink>
                  <w:r w:rsidRPr="009953C3">
                    <w:rPr>
                      <w:sz w:val="20"/>
                      <w:szCs w:val="20"/>
                      <w:lang/>
                    </w:rPr>
                    <w:br/>
                    <w:t>Dennis Bonam, Gavin Goy and Emmanuel de Veirman</w:t>
                  </w:r>
                  <w:r w:rsidRPr="009953C3">
                    <w:rPr>
                      <w:sz w:val="20"/>
                      <w:szCs w:val="20"/>
                      <w:lang/>
                    </w:rPr>
                    <w:br/>
                    <w:t>Oxford Bulletin of Economics and Statistics, 86(6), 1511-1538.</w:t>
                  </w:r>
                </w:p>
                <w:p w14:paraId="706CCA42" w14:textId="77777777" w:rsidR="00EE5CB4" w:rsidRPr="00100011" w:rsidRDefault="00EE5CB4" w:rsidP="00EE5CB4">
                  <w:pPr>
                    <w:spacing w:line="240" w:lineRule="auto"/>
                    <w:rPr>
                      <w:sz w:val="20"/>
                      <w:szCs w:val="20"/>
                      <w:lang/>
                    </w:rPr>
                  </w:pPr>
                </w:p>
                <w:p w14:paraId="189831BA" w14:textId="77777777" w:rsidR="00EE5CB4" w:rsidRPr="009953C3" w:rsidRDefault="00EE5CB4" w:rsidP="00EE5CB4">
                  <w:pPr>
                    <w:spacing w:line="240" w:lineRule="auto"/>
                    <w:rPr>
                      <w:sz w:val="20"/>
                      <w:szCs w:val="20"/>
                      <w:lang/>
                    </w:rPr>
                  </w:pPr>
                  <w:hyperlink r:id="rId31" w:history="1">
                    <w:r w:rsidRPr="009953C3">
                      <w:rPr>
                        <w:rStyle w:val="Hyperlink"/>
                        <w:sz w:val="20"/>
                        <w:szCs w:val="20"/>
                        <w:lang/>
                      </w:rPr>
                      <w:t>A structural investigation of quantitative easing</w:t>
                    </w:r>
                  </w:hyperlink>
                  <w:r w:rsidRPr="009953C3">
                    <w:rPr>
                      <w:sz w:val="20"/>
                      <w:szCs w:val="20"/>
                      <w:lang/>
                    </w:rPr>
                    <w:br/>
                    <w:t>Gregor Boehl, Gavin Goy and Felix Strobel</w:t>
                  </w:r>
                  <w:r w:rsidRPr="009953C3">
                    <w:rPr>
                      <w:sz w:val="20"/>
                      <w:szCs w:val="20"/>
                      <w:lang/>
                    </w:rPr>
                    <w:br/>
                    <w:t>Review of Economics and Statistics, 2024, 106(4), 1028-1044</w:t>
                  </w:r>
                </w:p>
                <w:p w14:paraId="21B867D7" w14:textId="77777777" w:rsidR="00EE5CB4" w:rsidRPr="00100011" w:rsidRDefault="00EE5CB4" w:rsidP="00EE5CB4">
                  <w:pPr>
                    <w:spacing w:line="240" w:lineRule="auto"/>
                    <w:rPr>
                      <w:sz w:val="20"/>
                      <w:szCs w:val="20"/>
                      <w:lang/>
                    </w:rPr>
                  </w:pPr>
                </w:p>
                <w:p w14:paraId="3A747095" w14:textId="77777777" w:rsidR="00EE5CB4" w:rsidRPr="009953C3" w:rsidRDefault="00EE5CB4" w:rsidP="00EE5CB4">
                  <w:pPr>
                    <w:spacing w:line="240" w:lineRule="auto"/>
                    <w:rPr>
                      <w:sz w:val="20"/>
                      <w:szCs w:val="20"/>
                      <w:lang/>
                    </w:rPr>
                  </w:pPr>
                  <w:hyperlink r:id="rId32" w:history="1">
                    <w:r w:rsidRPr="009953C3">
                      <w:rPr>
                        <w:rStyle w:val="Hyperlink"/>
                        <w:sz w:val="20"/>
                        <w:szCs w:val="20"/>
                        <w:lang/>
                      </w:rPr>
                      <w:t>Borrower based measures, House Prices, and Household Debt</w:t>
                    </w:r>
                  </w:hyperlink>
                  <w:r w:rsidRPr="009953C3">
                    <w:rPr>
                      <w:sz w:val="20"/>
                      <w:szCs w:val="20"/>
                      <w:lang/>
                    </w:rPr>
                    <w:br/>
                    <w:t>Francesco Caloia</w:t>
                  </w:r>
                  <w:r w:rsidRPr="009953C3">
                    <w:rPr>
                      <w:sz w:val="20"/>
                      <w:szCs w:val="20"/>
                      <w:lang/>
                    </w:rPr>
                    <w:br/>
                    <w:t>Journal of International Money and Finance, 2024, 143, 103051</w:t>
                  </w:r>
                </w:p>
                <w:p w14:paraId="200FD6ED" w14:textId="77777777" w:rsidR="00EE5CB4" w:rsidRPr="00100011" w:rsidRDefault="00EE5CB4" w:rsidP="00EE5CB4">
                  <w:pPr>
                    <w:spacing w:line="240" w:lineRule="auto"/>
                    <w:rPr>
                      <w:sz w:val="20"/>
                      <w:szCs w:val="20"/>
                      <w:lang/>
                    </w:rPr>
                  </w:pPr>
                </w:p>
                <w:p w14:paraId="1AB510ED" w14:textId="77777777" w:rsidR="00EE5CB4" w:rsidRPr="009953C3" w:rsidRDefault="00EE5CB4" w:rsidP="00EE5CB4">
                  <w:pPr>
                    <w:spacing w:line="240" w:lineRule="auto"/>
                    <w:rPr>
                      <w:sz w:val="20"/>
                      <w:szCs w:val="20"/>
                      <w:lang/>
                    </w:rPr>
                  </w:pPr>
                  <w:hyperlink r:id="rId33" w:history="1">
                    <w:r w:rsidRPr="009953C3">
                      <w:rPr>
                        <w:rStyle w:val="Hyperlink"/>
                        <w:sz w:val="20"/>
                        <w:szCs w:val="20"/>
                        <w:lang/>
                      </w:rPr>
                      <w:t>Lessons from low interest rate policy: how did euro area banks respond?</w:t>
                    </w:r>
                  </w:hyperlink>
                  <w:r w:rsidRPr="009953C3">
                    <w:rPr>
                      <w:sz w:val="20"/>
                      <w:szCs w:val="20"/>
                      <w:lang/>
                    </w:rPr>
                    <w:br/>
                    <w:t>Jorien Freriks and Jan Kakes</w:t>
                  </w:r>
                  <w:r w:rsidRPr="009953C3">
                    <w:rPr>
                      <w:sz w:val="20"/>
                      <w:szCs w:val="20"/>
                      <w:lang/>
                    </w:rPr>
                    <w:br/>
                    <w:t>Journal of International Money and Finance, 2024, 103122.</w:t>
                  </w:r>
                </w:p>
                <w:p w14:paraId="2F570ADF" w14:textId="77777777" w:rsidR="00EE5CB4" w:rsidRPr="00100011" w:rsidRDefault="00EE5CB4" w:rsidP="00EE5CB4">
                  <w:pPr>
                    <w:spacing w:line="240" w:lineRule="auto"/>
                    <w:rPr>
                      <w:sz w:val="20"/>
                      <w:szCs w:val="20"/>
                      <w:lang/>
                    </w:rPr>
                  </w:pPr>
                </w:p>
                <w:p w14:paraId="3948DE62" w14:textId="77777777" w:rsidR="00EE5CB4" w:rsidRPr="009953C3" w:rsidRDefault="00EE5CB4" w:rsidP="00EE5CB4">
                  <w:pPr>
                    <w:spacing w:line="240" w:lineRule="auto"/>
                    <w:rPr>
                      <w:sz w:val="20"/>
                      <w:szCs w:val="20"/>
                      <w:lang/>
                    </w:rPr>
                  </w:pPr>
                  <w:hyperlink r:id="rId34" w:history="1">
                    <w:r w:rsidRPr="009953C3">
                      <w:rPr>
                        <w:rStyle w:val="Hyperlink"/>
                        <w:sz w:val="20"/>
                        <w:szCs w:val="20"/>
                        <w:lang/>
                      </w:rPr>
                      <w:t>Central Bank Communication with the General Public: Promise or False Hope?</w:t>
                    </w:r>
                  </w:hyperlink>
                  <w:r w:rsidRPr="009953C3">
                    <w:rPr>
                      <w:sz w:val="20"/>
                      <w:szCs w:val="20"/>
                      <w:lang/>
                    </w:rPr>
                    <w:br/>
                    <w:t>Alan S. Blinder, Michael Ehrmann, Jakob de Haan and David-Jan Jansen. </w:t>
                  </w:r>
                  <w:r w:rsidRPr="009953C3">
                    <w:rPr>
                      <w:sz w:val="20"/>
                      <w:szCs w:val="20"/>
                      <w:lang/>
                    </w:rPr>
                    <w:br/>
                    <w:t>Journal of Economic Literature, 2024, 62 (2): 425–57</w:t>
                  </w:r>
                </w:p>
                <w:p w14:paraId="3B88397B" w14:textId="77777777" w:rsidR="00EE5CB4" w:rsidRPr="00100011" w:rsidRDefault="00EE5CB4" w:rsidP="00EE5CB4">
                  <w:pPr>
                    <w:spacing w:line="240" w:lineRule="auto"/>
                    <w:rPr>
                      <w:sz w:val="20"/>
                      <w:szCs w:val="20"/>
                      <w:lang/>
                    </w:rPr>
                  </w:pPr>
                </w:p>
                <w:p w14:paraId="74120264" w14:textId="77777777" w:rsidR="00EE5CB4" w:rsidRPr="009953C3" w:rsidRDefault="00EE5CB4" w:rsidP="00EE5CB4">
                  <w:pPr>
                    <w:spacing w:line="240" w:lineRule="auto"/>
                    <w:rPr>
                      <w:sz w:val="20"/>
                      <w:szCs w:val="20"/>
                      <w:lang/>
                    </w:rPr>
                  </w:pPr>
                  <w:hyperlink r:id="rId35" w:history="1">
                    <w:r w:rsidRPr="009953C3">
                      <w:rPr>
                        <w:rStyle w:val="Hyperlink"/>
                        <w:sz w:val="20"/>
                        <w:szCs w:val="20"/>
                        <w:lang/>
                      </w:rPr>
                      <w:t>Flood risk and climate change: A disconnect between homeowners' awareness and mitigating actions?</w:t>
                    </w:r>
                  </w:hyperlink>
                  <w:r w:rsidRPr="009953C3">
                    <w:rPr>
                      <w:sz w:val="20"/>
                      <w:szCs w:val="20"/>
                      <w:lang/>
                    </w:rPr>
                    <w:br/>
                    <w:t>David-Jan Jansen</w:t>
                  </w:r>
                  <w:r w:rsidRPr="009953C3">
                    <w:rPr>
                      <w:sz w:val="20"/>
                      <w:szCs w:val="20"/>
                      <w:lang/>
                    </w:rPr>
                    <w:br/>
                    <w:t>Climate Risk Management, 2024</w:t>
                  </w:r>
                  <w:r w:rsidRPr="009953C3">
                    <w:rPr>
                      <w:i/>
                      <w:iCs/>
                      <w:sz w:val="20"/>
                      <w:szCs w:val="20"/>
                      <w:lang/>
                    </w:rPr>
                    <w:t>, </w:t>
                  </w:r>
                  <w:r w:rsidRPr="009953C3">
                    <w:rPr>
                      <w:sz w:val="20"/>
                      <w:szCs w:val="20"/>
                      <w:lang/>
                    </w:rPr>
                    <w:t>44, 100616.</w:t>
                  </w:r>
                </w:p>
                <w:p w14:paraId="71F2A6F1" w14:textId="77777777" w:rsidR="00EE5CB4" w:rsidRPr="00100011" w:rsidRDefault="00EE5CB4" w:rsidP="00EE5CB4">
                  <w:pPr>
                    <w:spacing w:line="240" w:lineRule="auto"/>
                    <w:rPr>
                      <w:sz w:val="20"/>
                      <w:szCs w:val="20"/>
                      <w:lang/>
                    </w:rPr>
                  </w:pPr>
                </w:p>
                <w:p w14:paraId="04FB6C0F" w14:textId="77777777" w:rsidR="00EE5CB4" w:rsidRPr="009953C3" w:rsidRDefault="00EE5CB4" w:rsidP="00EE5CB4">
                  <w:pPr>
                    <w:spacing w:line="240" w:lineRule="auto"/>
                    <w:rPr>
                      <w:sz w:val="20"/>
                      <w:szCs w:val="20"/>
                      <w:lang/>
                    </w:rPr>
                  </w:pPr>
                  <w:hyperlink r:id="rId36" w:history="1">
                    <w:r w:rsidRPr="009953C3">
                      <w:rPr>
                        <w:rStyle w:val="Hyperlink"/>
                        <w:sz w:val="20"/>
                        <w:szCs w:val="20"/>
                        <w:lang/>
                      </w:rPr>
                      <w:t>The volatility of capital flows in emerging markets: Measures and determinants</w:t>
                    </w:r>
                  </w:hyperlink>
                  <w:r w:rsidRPr="009953C3">
                    <w:rPr>
                      <w:sz w:val="20"/>
                      <w:szCs w:val="20"/>
                      <w:lang/>
                    </w:rPr>
                    <w:br/>
                    <w:t>Maria Sole Pagliari and Swarnali Ahmed Hannan</w:t>
                  </w:r>
                  <w:r w:rsidRPr="009953C3">
                    <w:rPr>
                      <w:sz w:val="20"/>
                      <w:szCs w:val="20"/>
                      <w:lang/>
                    </w:rPr>
                    <w:br/>
                    <w:t>Journal of International Money and Finance, 2024, 103095.</w:t>
                  </w:r>
                </w:p>
                <w:p w14:paraId="3C6D1C58" w14:textId="77777777" w:rsidR="00EE5CB4" w:rsidRPr="00100011" w:rsidRDefault="00EE5CB4" w:rsidP="00EE5CB4">
                  <w:pPr>
                    <w:spacing w:line="240" w:lineRule="auto"/>
                    <w:rPr>
                      <w:sz w:val="20"/>
                      <w:szCs w:val="20"/>
                      <w:lang w:val="en-US"/>
                    </w:rPr>
                  </w:pPr>
                </w:p>
                <w:p w14:paraId="40E52BD8" w14:textId="77777777" w:rsidR="00EE5CB4" w:rsidRPr="009953C3" w:rsidRDefault="00EE5CB4" w:rsidP="00EE5CB4">
                  <w:pPr>
                    <w:spacing w:line="240" w:lineRule="auto"/>
                    <w:rPr>
                      <w:sz w:val="20"/>
                      <w:szCs w:val="20"/>
                      <w:lang/>
                    </w:rPr>
                  </w:pPr>
                  <w:hyperlink r:id="rId37" w:history="1">
                    <w:r w:rsidRPr="009953C3">
                      <w:rPr>
                        <w:rStyle w:val="Hyperlink"/>
                        <w:sz w:val="20"/>
                        <w:szCs w:val="20"/>
                        <w:lang/>
                      </w:rPr>
                      <w:t>The international impact of a fragile EMU</w:t>
                    </w:r>
                  </w:hyperlink>
                  <w:r w:rsidRPr="009953C3">
                    <w:rPr>
                      <w:sz w:val="20"/>
                      <w:szCs w:val="20"/>
                      <w:lang/>
                    </w:rPr>
                    <w:br/>
                    <w:t>Demosthenes Ioannou, Maria Sole Pagliari and Livio Stracca</w:t>
                  </w:r>
                  <w:r w:rsidRPr="009953C3">
                    <w:rPr>
                      <w:sz w:val="20"/>
                      <w:szCs w:val="20"/>
                      <w:lang/>
                    </w:rPr>
                    <w:br/>
                    <w:t>European Economic Review, 2024, 161, 104647.</w:t>
                  </w:r>
                </w:p>
                <w:p w14:paraId="32CFC913" w14:textId="77777777" w:rsidR="00EE5CB4" w:rsidRPr="00100011" w:rsidRDefault="00EE5CB4" w:rsidP="00EE5CB4">
                  <w:pPr>
                    <w:spacing w:line="240" w:lineRule="auto"/>
                    <w:rPr>
                      <w:sz w:val="20"/>
                      <w:szCs w:val="20"/>
                      <w:lang w:val="en-US"/>
                    </w:rPr>
                  </w:pPr>
                </w:p>
                <w:p w14:paraId="68619BF1" w14:textId="77777777" w:rsidR="00EE5CB4" w:rsidRPr="00100011" w:rsidRDefault="00EE5CB4" w:rsidP="00EE5CB4">
                  <w:pPr>
                    <w:spacing w:line="240" w:lineRule="auto"/>
                    <w:rPr>
                      <w:sz w:val="20"/>
                      <w:szCs w:val="20"/>
                      <w:lang w:val="en-US"/>
                    </w:rPr>
                  </w:pPr>
                  <w:hyperlink r:id="rId38" w:history="1">
                    <w:r w:rsidRPr="00100011">
                      <w:rPr>
                        <w:rStyle w:val="Hyperlink"/>
                        <w:sz w:val="20"/>
                        <w:szCs w:val="20"/>
                        <w:lang w:val="en-US"/>
                      </w:rPr>
                      <w:t>Uncovering the digital payment divide: understanding the importance of cash for groups at risk</w:t>
                    </w:r>
                  </w:hyperlink>
                </w:p>
                <w:p w14:paraId="03A855AE" w14:textId="77777777" w:rsidR="00EE5CB4" w:rsidRPr="00100011" w:rsidRDefault="00EE5CB4" w:rsidP="00EE5CB4">
                  <w:pPr>
                    <w:spacing w:line="240" w:lineRule="auto"/>
                    <w:rPr>
                      <w:sz w:val="20"/>
                      <w:szCs w:val="20"/>
                      <w:lang w:val="en-US"/>
                    </w:rPr>
                  </w:pPr>
                  <w:r w:rsidRPr="00575250">
                    <w:rPr>
                      <w:sz w:val="20"/>
                      <w:szCs w:val="20"/>
                      <w:lang w:val="en-US"/>
                    </w:rPr>
                    <w:t>Carin van der Cruijsen and Jelmer Reijerink</w:t>
                  </w:r>
                  <w:r w:rsidRPr="00575250">
                    <w:rPr>
                      <w:sz w:val="20"/>
                      <w:szCs w:val="20"/>
                      <w:lang w:val="en-US"/>
                    </w:rPr>
                    <w:br/>
                    <w:t>Journal of Consumer Affairs, 2024, 58(2), 486-505</w:t>
                  </w:r>
                </w:p>
                <w:p w14:paraId="306821F9" w14:textId="77777777" w:rsidR="00157638" w:rsidRPr="00157638" w:rsidRDefault="00157638" w:rsidP="00157638">
                  <w:pPr>
                    <w:spacing w:line="227" w:lineRule="atLeast"/>
                    <w:rPr>
                      <w:rFonts w:eastAsia="Calibri" w:cs="Times New Roman"/>
                      <w:sz w:val="17"/>
                      <w:szCs w:val="17"/>
                      <w:lang w:val="en-US"/>
                    </w:rPr>
                  </w:pPr>
                </w:p>
                <w:p w14:paraId="4EB23F8A" w14:textId="77777777" w:rsidR="00E02F47" w:rsidRPr="00B6267B" w:rsidRDefault="00E02F47" w:rsidP="00E02F47">
                  <w:pPr>
                    <w:spacing w:line="227" w:lineRule="atLeast"/>
                    <w:rPr>
                      <w:rFonts w:eastAsia="Calibri" w:cs="Times New Roman"/>
                      <w:bCs/>
                      <w:sz w:val="20"/>
                      <w:szCs w:val="20"/>
                      <w:lang w:val="en-US"/>
                    </w:rPr>
                  </w:pPr>
                </w:p>
                <w:p w14:paraId="025AF244" w14:textId="77777777" w:rsidR="00F75762" w:rsidRPr="00EE5CB4" w:rsidRDefault="00F75762" w:rsidP="001D4AD3">
                  <w:pPr>
                    <w:rPr>
                      <w:color w:val="1226AA"/>
                      <w:sz w:val="20"/>
                      <w:szCs w:val="20"/>
                    </w:rPr>
                  </w:pPr>
                  <w:proofErr w:type="spellStart"/>
                  <w:r w:rsidRPr="00EE5CB4">
                    <w:rPr>
                      <w:b/>
                      <w:color w:val="1226AA"/>
                      <w:sz w:val="20"/>
                      <w:szCs w:val="20"/>
                    </w:rPr>
                    <w:t>Forthcoming</w:t>
                  </w:r>
                  <w:proofErr w:type="spellEnd"/>
                  <w:r w:rsidRPr="00EE5CB4">
                    <w:rPr>
                      <w:b/>
                      <w:color w:val="1226AA"/>
                      <w:sz w:val="20"/>
                      <w:szCs w:val="20"/>
                    </w:rPr>
                    <w:t xml:space="preserve"> </w:t>
                  </w:r>
                  <w:proofErr w:type="spellStart"/>
                  <w:r w:rsidRPr="00EE5CB4">
                    <w:rPr>
                      <w:b/>
                      <w:color w:val="1226AA"/>
                      <w:sz w:val="20"/>
                      <w:szCs w:val="20"/>
                    </w:rPr>
                    <w:t>journal</w:t>
                  </w:r>
                  <w:proofErr w:type="spellEnd"/>
                  <w:r w:rsidRPr="00EE5CB4">
                    <w:rPr>
                      <w:b/>
                      <w:color w:val="1226AA"/>
                      <w:sz w:val="20"/>
                      <w:szCs w:val="20"/>
                    </w:rPr>
                    <w:t xml:space="preserve"> </w:t>
                  </w:r>
                  <w:proofErr w:type="spellStart"/>
                  <w:r w:rsidRPr="00EE5CB4">
                    <w:rPr>
                      <w:b/>
                      <w:color w:val="1226AA"/>
                      <w:sz w:val="20"/>
                      <w:szCs w:val="20"/>
                    </w:rPr>
                    <w:t>articles</w:t>
                  </w:r>
                  <w:proofErr w:type="spellEnd"/>
                  <w:r w:rsidRPr="00EE5CB4">
                    <w:rPr>
                      <w:color w:val="1226AA"/>
                      <w:sz w:val="20"/>
                      <w:szCs w:val="20"/>
                    </w:rPr>
                    <w:t xml:space="preserve"> </w:t>
                  </w:r>
                </w:p>
                <w:p w14:paraId="7EDFBBE5" w14:textId="77777777" w:rsidR="00EE5CB4" w:rsidRDefault="00EE5CB4" w:rsidP="00EE5CB4">
                  <w:pPr>
                    <w:spacing w:before="100" w:beforeAutospacing="1" w:after="100" w:afterAutospacing="1" w:line="240" w:lineRule="auto"/>
                    <w:rPr>
                      <w:sz w:val="20"/>
                      <w:szCs w:val="20"/>
                      <w:lang/>
                    </w:rPr>
                  </w:pPr>
                  <w:hyperlink r:id="rId39" w:history="1">
                    <w:r w:rsidRPr="001B4F7D">
                      <w:rPr>
                        <w:rStyle w:val="Hyperlink"/>
                        <w:sz w:val="20"/>
                        <w:szCs w:val="20"/>
                        <w:lang/>
                      </w:rPr>
                      <w:t>Recourse and (strategic) mortgage defaults: Evidence from changes in housing market laws</w:t>
                    </w:r>
                  </w:hyperlink>
                  <w:r>
                    <w:rPr>
                      <w:sz w:val="20"/>
                      <w:szCs w:val="20"/>
                      <w:lang/>
                    </w:rPr>
                    <w:br/>
                  </w:r>
                  <w:r w:rsidRPr="001B4F7D">
                    <w:rPr>
                      <w:sz w:val="20"/>
                      <w:szCs w:val="20"/>
                      <w:lang/>
                    </w:rPr>
                    <w:t>Alin Andries, Anca Copaciu, Radu Popa and Razvan Vlahu</w:t>
                  </w:r>
                  <w:r>
                    <w:rPr>
                      <w:sz w:val="20"/>
                      <w:szCs w:val="20"/>
                      <w:lang/>
                    </w:rPr>
                    <w:br/>
                  </w:r>
                  <w:r w:rsidRPr="001B4F7D">
                    <w:rPr>
                      <w:sz w:val="20"/>
                      <w:szCs w:val="20"/>
                      <w:lang/>
                    </w:rPr>
                    <w:t>European Economic Review</w:t>
                  </w:r>
                </w:p>
                <w:p w14:paraId="683829D7" w14:textId="77777777" w:rsidR="00EE5CB4" w:rsidRPr="00575250" w:rsidRDefault="00EE5CB4" w:rsidP="00EE5CB4">
                  <w:pPr>
                    <w:spacing w:before="100" w:beforeAutospacing="1" w:after="100" w:afterAutospacing="1" w:line="240" w:lineRule="auto"/>
                    <w:rPr>
                      <w:sz w:val="20"/>
                      <w:szCs w:val="20"/>
                      <w:lang/>
                    </w:rPr>
                  </w:pPr>
                  <w:hyperlink r:id="rId40" w:history="1">
                    <w:r w:rsidRPr="00575250">
                      <w:rPr>
                        <w:rStyle w:val="Hyperlink"/>
                        <w:sz w:val="20"/>
                        <w:szCs w:val="20"/>
                        <w:lang w:val="en-US"/>
                      </w:rPr>
                      <w:t xml:space="preserve">Fearless woman: </w:t>
                    </w:r>
                    <w:r w:rsidRPr="00575250">
                      <w:rPr>
                        <w:rStyle w:val="Hyperlink"/>
                        <w:sz w:val="20"/>
                        <w:szCs w:val="20"/>
                        <w:lang/>
                      </w:rPr>
                      <w:t>Financial literacy, confidence, and stock market participation</w:t>
                    </w:r>
                  </w:hyperlink>
                  <w:r w:rsidRPr="00575250">
                    <w:rPr>
                      <w:sz w:val="20"/>
                      <w:szCs w:val="20"/>
                      <w:lang/>
                    </w:rPr>
                    <w:br/>
                    <w:t>Tabea Bucher-Koenen, Rob Alessie, Annamaria Lusardi and Maarten van Rooij</w:t>
                  </w:r>
                  <w:r w:rsidRPr="00575250">
                    <w:rPr>
                      <w:sz w:val="20"/>
                      <w:szCs w:val="20"/>
                      <w:lang/>
                    </w:rPr>
                    <w:br/>
                    <w:t>Management Science</w:t>
                  </w:r>
                </w:p>
                <w:p w14:paraId="4DA9FB71" w14:textId="77777777" w:rsidR="00EE5CB4" w:rsidRPr="00057220" w:rsidRDefault="00EE5CB4" w:rsidP="00EE5CB4">
                  <w:pPr>
                    <w:spacing w:before="100" w:beforeAutospacing="1" w:after="100" w:afterAutospacing="1" w:line="240" w:lineRule="auto"/>
                    <w:rPr>
                      <w:sz w:val="20"/>
                      <w:szCs w:val="20"/>
                      <w:lang/>
                    </w:rPr>
                  </w:pPr>
                  <w:hyperlink r:id="rId41" w:history="1">
                    <w:r w:rsidRPr="00575250">
                      <w:rPr>
                        <w:rStyle w:val="Hyperlink"/>
                        <w:sz w:val="20"/>
                        <w:szCs w:val="20"/>
                        <w:lang/>
                      </w:rPr>
                      <w:t>Financial literacy in the DNB Household Survey: Insights from innovative data collection</w:t>
                    </w:r>
                  </w:hyperlink>
                  <w:r w:rsidRPr="00575250">
                    <w:rPr>
                      <w:sz w:val="20"/>
                      <w:szCs w:val="20"/>
                      <w:lang/>
                    </w:rPr>
                    <w:br/>
                    <w:t>Maarten van Rooij, Rob Alessie and Annamaria Lusardi</w:t>
                  </w:r>
                  <w:r w:rsidRPr="00575250">
                    <w:rPr>
                      <w:sz w:val="20"/>
                      <w:szCs w:val="20"/>
                      <w:lang/>
                    </w:rPr>
                    <w:br/>
                    <w:t>Journal of Financial Literacy and Wellbeing</w:t>
                  </w:r>
                  <w:r>
                    <w:rPr>
                      <w:lang w:val="en-US"/>
                    </w:rPr>
                    <w:br/>
                  </w:r>
                  <w:r w:rsidRPr="00575250">
                    <w:rPr>
                      <w:lang w:val="en-US"/>
                    </w:rPr>
                    <w:br/>
                  </w:r>
                  <w:hyperlink r:id="rId42" w:history="1">
                    <w:r w:rsidRPr="00057220">
                      <w:rPr>
                        <w:rStyle w:val="Hyperlink"/>
                        <w:sz w:val="20"/>
                        <w:szCs w:val="20"/>
                        <w:lang/>
                      </w:rPr>
                      <w:t>Data Science for Central Banks and Supervisors: How to Make It Work, Actually</w:t>
                    </w:r>
                  </w:hyperlink>
                  <w:r w:rsidRPr="00057220">
                    <w:rPr>
                      <w:sz w:val="20"/>
                      <w:szCs w:val="20"/>
                      <w:lang/>
                    </w:rPr>
                    <w:br/>
                    <w:t>Patty Duijm and Iman van Lelyveld</w:t>
                  </w:r>
                  <w:r w:rsidRPr="00057220">
                    <w:rPr>
                      <w:sz w:val="20"/>
                      <w:szCs w:val="20"/>
                      <w:lang/>
                    </w:rPr>
                    <w:br/>
                    <w:t>Harvard Data Science Review</w:t>
                  </w:r>
                </w:p>
                <w:p w14:paraId="2F69E616" w14:textId="45212080" w:rsidR="00AB7720" w:rsidRDefault="00AB7720" w:rsidP="00796F18">
                  <w:pPr>
                    <w:spacing w:line="240" w:lineRule="auto"/>
                    <w:rPr>
                      <w:sz w:val="20"/>
                      <w:szCs w:val="20"/>
                      <w:lang w:val="en-GB"/>
                    </w:rPr>
                  </w:pPr>
                  <w:r w:rsidRPr="00B6267B">
                    <w:rPr>
                      <w:sz w:val="20"/>
                      <w:szCs w:val="20"/>
                      <w:lang w:val="en-GB"/>
                    </w:rPr>
                    <w:t xml:space="preserve">For a complete list of publications see our </w:t>
                  </w:r>
                  <w:hyperlink r:id="rId43" w:history="1">
                    <w:r w:rsidRPr="00B6267B">
                      <w:rPr>
                        <w:rStyle w:val="Hyperlink"/>
                        <w:sz w:val="20"/>
                        <w:szCs w:val="20"/>
                        <w:lang w:val="en-GB"/>
                      </w:rPr>
                      <w:t>website</w:t>
                    </w:r>
                  </w:hyperlink>
                  <w:r w:rsidRPr="00B6267B">
                    <w:rPr>
                      <w:sz w:val="20"/>
                      <w:szCs w:val="20"/>
                      <w:lang w:val="en-GB"/>
                    </w:rPr>
                    <w:t>.</w:t>
                  </w:r>
                </w:p>
                <w:p w14:paraId="67778485" w14:textId="77777777" w:rsidR="00992815" w:rsidRDefault="00992815" w:rsidP="00796F18">
                  <w:pPr>
                    <w:spacing w:line="240" w:lineRule="auto"/>
                    <w:rPr>
                      <w:sz w:val="20"/>
                      <w:szCs w:val="20"/>
                      <w:lang w:val="en-GB"/>
                    </w:rPr>
                  </w:pPr>
                </w:p>
                <w:p w14:paraId="5EB1D748" w14:textId="77777777" w:rsidR="005A582B" w:rsidRDefault="005A582B" w:rsidP="00D308C7">
                  <w:pPr>
                    <w:spacing w:line="227" w:lineRule="atLeast"/>
                    <w:rPr>
                      <w:b/>
                      <w:color w:val="1226AA"/>
                      <w:sz w:val="20"/>
                      <w:szCs w:val="20"/>
                    </w:rPr>
                  </w:pPr>
                </w:p>
                <w:p w14:paraId="07B07C43" w14:textId="77777777" w:rsidR="005A582B" w:rsidRDefault="005A582B" w:rsidP="00D308C7">
                  <w:pPr>
                    <w:spacing w:line="227" w:lineRule="atLeast"/>
                    <w:rPr>
                      <w:b/>
                      <w:color w:val="1226AA"/>
                      <w:sz w:val="20"/>
                      <w:szCs w:val="20"/>
                    </w:rPr>
                  </w:pPr>
                </w:p>
                <w:p w14:paraId="2DFE6D0D" w14:textId="77777777" w:rsidR="005A582B" w:rsidRDefault="005A582B" w:rsidP="00D308C7">
                  <w:pPr>
                    <w:spacing w:line="227" w:lineRule="atLeast"/>
                    <w:rPr>
                      <w:b/>
                      <w:color w:val="1226AA"/>
                      <w:sz w:val="20"/>
                      <w:szCs w:val="20"/>
                    </w:rPr>
                  </w:pPr>
                </w:p>
                <w:p w14:paraId="68A52FDF" w14:textId="77777777" w:rsidR="005A582B" w:rsidRDefault="005A582B" w:rsidP="00D308C7">
                  <w:pPr>
                    <w:spacing w:line="227" w:lineRule="atLeast"/>
                    <w:rPr>
                      <w:b/>
                      <w:color w:val="1226AA"/>
                      <w:sz w:val="20"/>
                      <w:szCs w:val="20"/>
                    </w:rPr>
                  </w:pPr>
                </w:p>
                <w:p w14:paraId="56913DDA" w14:textId="14AA69B0" w:rsidR="00992815" w:rsidRPr="005A582B" w:rsidRDefault="00992815" w:rsidP="00D308C7">
                  <w:pPr>
                    <w:spacing w:line="227" w:lineRule="atLeast"/>
                    <w:rPr>
                      <w:b/>
                      <w:color w:val="1226AA"/>
                      <w:sz w:val="20"/>
                      <w:szCs w:val="20"/>
                      <w:lang w:val="en-US"/>
                    </w:rPr>
                  </w:pPr>
                  <w:r w:rsidRPr="005A582B">
                    <w:rPr>
                      <w:b/>
                      <w:color w:val="1226AA"/>
                      <w:sz w:val="20"/>
                      <w:szCs w:val="20"/>
                      <w:lang w:val="en-US"/>
                    </w:rPr>
                    <w:t>Forthcoming books/articles in books</w:t>
                  </w:r>
                </w:p>
                <w:p w14:paraId="3E7D59F6" w14:textId="77777777" w:rsidR="00EE5CB4" w:rsidRDefault="00EE5CB4" w:rsidP="00EE5CB4">
                  <w:pPr>
                    <w:rPr>
                      <w:sz w:val="20"/>
                      <w:szCs w:val="20"/>
                      <w:lang w:val="en-US"/>
                    </w:rPr>
                  </w:pPr>
                  <w:r w:rsidRPr="00057220">
                    <w:rPr>
                      <w:sz w:val="20"/>
                      <w:szCs w:val="20"/>
                      <w:lang w:val="en-US"/>
                    </w:rPr>
                    <w:t>Carin van der Cruijsen and Anna Samarina, Trust in financial institutions and central banks. In R. Jong-A-Pin and C. Bjørnskov (Eds.) </w:t>
                  </w:r>
                  <w:r w:rsidRPr="00057220">
                    <w:rPr>
                      <w:i/>
                      <w:iCs/>
                      <w:sz w:val="20"/>
                      <w:szCs w:val="20"/>
                      <w:lang w:val="en-US"/>
                    </w:rPr>
                    <w:t>Encyclopedia of public choice. </w:t>
                  </w:r>
                  <w:r w:rsidRPr="00057220">
                    <w:rPr>
                      <w:sz w:val="20"/>
                      <w:szCs w:val="20"/>
                      <w:lang w:val="en-US"/>
                    </w:rPr>
                    <w:t>Edward Elgar.</w:t>
                  </w:r>
                </w:p>
                <w:p w14:paraId="69F0F56D" w14:textId="77777777" w:rsidR="00EE5CB4" w:rsidRDefault="00EE5CB4" w:rsidP="00EE5CB4">
                  <w:pPr>
                    <w:rPr>
                      <w:sz w:val="20"/>
                      <w:szCs w:val="20"/>
                      <w:lang w:val="en-US"/>
                    </w:rPr>
                  </w:pPr>
                </w:p>
                <w:p w14:paraId="5C04463D" w14:textId="77777777" w:rsidR="00EE5CB4" w:rsidRPr="00DF716D" w:rsidRDefault="00EE5CB4" w:rsidP="00EE5CB4">
                  <w:pPr>
                    <w:rPr>
                      <w:sz w:val="20"/>
                      <w:szCs w:val="20"/>
                      <w:lang w:val="en-US"/>
                    </w:rPr>
                  </w:pPr>
                  <w:r w:rsidRPr="00DF716D">
                    <w:rPr>
                      <w:sz w:val="20"/>
                      <w:szCs w:val="20"/>
                      <w:lang w:val="en-US"/>
                    </w:rPr>
                    <w:t xml:space="preserve">Gabriele Galati and Richhild Moessner, Challenges for macroprudential policies, Chapter 25 </w:t>
                  </w:r>
                  <w:r>
                    <w:rPr>
                      <w:sz w:val="20"/>
                      <w:szCs w:val="20"/>
                      <w:lang w:val="en-US"/>
                    </w:rPr>
                    <w:t xml:space="preserve">In </w:t>
                  </w:r>
                  <w:r w:rsidRPr="00DF716D">
                    <w:rPr>
                      <w:sz w:val="20"/>
                      <w:szCs w:val="20"/>
                      <w:lang w:val="en-US"/>
                    </w:rPr>
                    <w:t>Allen N. Berger, Philip Molyneux, John O.S. Wilson</w:t>
                  </w:r>
                  <w:r>
                    <w:rPr>
                      <w:sz w:val="20"/>
                      <w:szCs w:val="20"/>
                      <w:lang w:val="en-US"/>
                    </w:rPr>
                    <w:t xml:space="preserve"> (Eds.)</w:t>
                  </w:r>
                  <w:r w:rsidRPr="00DF716D">
                    <w:rPr>
                      <w:sz w:val="20"/>
                      <w:szCs w:val="20"/>
                      <w:lang w:val="en-US"/>
                    </w:rPr>
                    <w:t xml:space="preserve"> </w:t>
                  </w:r>
                  <w:r w:rsidRPr="00DF716D">
                    <w:rPr>
                      <w:i/>
                      <w:iCs/>
                      <w:sz w:val="20"/>
                      <w:szCs w:val="20"/>
                      <w:lang w:val="en-US"/>
                    </w:rPr>
                    <w:t>The Oxford Handbook of Banking</w:t>
                  </w:r>
                  <w:r>
                    <w:rPr>
                      <w:i/>
                      <w:iCs/>
                      <w:sz w:val="20"/>
                      <w:szCs w:val="20"/>
                      <w:lang w:val="en-US"/>
                    </w:rPr>
                    <w:t>.</w:t>
                  </w:r>
                  <w:r w:rsidRPr="00DF716D">
                    <w:rPr>
                      <w:sz w:val="20"/>
                      <w:szCs w:val="20"/>
                      <w:lang w:val="en-US"/>
                    </w:rPr>
                    <w:t xml:space="preserve"> Oxford University Press.</w:t>
                  </w:r>
                </w:p>
                <w:p w14:paraId="63C9D1D4" w14:textId="77777777" w:rsidR="00992815" w:rsidRDefault="00992815" w:rsidP="00992815">
                  <w:pPr>
                    <w:spacing w:line="240" w:lineRule="auto"/>
                    <w:rPr>
                      <w:rFonts w:eastAsia="Times New Roman"/>
                      <w:sz w:val="20"/>
                      <w:szCs w:val="20"/>
                      <w:lang w:val="en-GB"/>
                    </w:rPr>
                  </w:pPr>
                </w:p>
                <w:p w14:paraId="07EEF292" w14:textId="77777777" w:rsidR="005A582B" w:rsidRDefault="005A582B" w:rsidP="00D308C7">
                  <w:pPr>
                    <w:spacing w:line="227" w:lineRule="atLeast"/>
                    <w:rPr>
                      <w:b/>
                      <w:color w:val="1226AA"/>
                      <w:sz w:val="20"/>
                      <w:szCs w:val="20"/>
                    </w:rPr>
                  </w:pPr>
                </w:p>
                <w:p w14:paraId="45299284" w14:textId="242A5AED" w:rsidR="00992815" w:rsidRPr="00253C36" w:rsidRDefault="00992815" w:rsidP="00D308C7">
                  <w:pPr>
                    <w:spacing w:line="227" w:lineRule="atLeast"/>
                    <w:rPr>
                      <w:b/>
                      <w:color w:val="1226AA"/>
                      <w:sz w:val="20"/>
                      <w:szCs w:val="20"/>
                      <w:lang w:val="en-US"/>
                    </w:rPr>
                  </w:pPr>
                  <w:r w:rsidRPr="00253C36">
                    <w:rPr>
                      <w:b/>
                      <w:color w:val="1226AA"/>
                      <w:sz w:val="20"/>
                      <w:szCs w:val="20"/>
                      <w:lang w:val="en-US"/>
                    </w:rPr>
                    <w:t>Other publications</w:t>
                  </w:r>
                </w:p>
                <w:p w14:paraId="0446F28B" w14:textId="77777777" w:rsidR="00EE5CB4" w:rsidRPr="0037651A" w:rsidRDefault="00EE5CB4" w:rsidP="00EE5CB4">
                  <w:pPr>
                    <w:rPr>
                      <w:sz w:val="20"/>
                      <w:szCs w:val="20"/>
                      <w:lang/>
                    </w:rPr>
                  </w:pPr>
                  <w:hyperlink r:id="rId44" w:history="1">
                    <w:r w:rsidRPr="0037651A">
                      <w:rPr>
                        <w:rStyle w:val="Hyperlink"/>
                        <w:sz w:val="20"/>
                        <w:szCs w:val="20"/>
                        <w:lang w:val="en-US"/>
                      </w:rPr>
                      <w:t>Funding the Fittest? How investors respond to climate transition risk in the corporate bond market</w:t>
                    </w:r>
                  </w:hyperlink>
                  <w:r>
                    <w:rPr>
                      <w:sz w:val="20"/>
                      <w:szCs w:val="20"/>
                      <w:lang w:val="en-US"/>
                    </w:rPr>
                    <w:br/>
                  </w:r>
                  <w:r w:rsidRPr="00057220">
                    <w:rPr>
                      <w:sz w:val="20"/>
                      <w:szCs w:val="20"/>
                      <w:lang w:val="en-US"/>
                    </w:rPr>
                    <w:t>Martijn Boermans</w:t>
                  </w:r>
                  <w:r>
                    <w:rPr>
                      <w:sz w:val="20"/>
                      <w:szCs w:val="20"/>
                      <w:lang w:val="en-US"/>
                    </w:rPr>
                    <w:t xml:space="preserve">, </w:t>
                  </w:r>
                  <w:r w:rsidRPr="00057220">
                    <w:rPr>
                      <w:sz w:val="20"/>
                      <w:szCs w:val="20"/>
                      <w:lang w:val="en-US"/>
                    </w:rPr>
                    <w:t>Maurice Bun</w:t>
                  </w:r>
                  <w:r>
                    <w:rPr>
                      <w:sz w:val="20"/>
                      <w:szCs w:val="20"/>
                      <w:lang w:val="en-US"/>
                    </w:rPr>
                    <w:t xml:space="preserve">, </w:t>
                  </w:r>
                  <w:r w:rsidRPr="00057220">
                    <w:rPr>
                      <w:sz w:val="20"/>
                      <w:szCs w:val="20"/>
                      <w:lang w:val="en-US"/>
                    </w:rPr>
                    <w:t>Yasmine van der Straten</w:t>
                  </w:r>
                  <w:r w:rsidRPr="00057220">
                    <w:rPr>
                      <w:sz w:val="20"/>
                      <w:szCs w:val="20"/>
                      <w:lang w:val="en-US"/>
                    </w:rPr>
                    <w:br/>
                  </w:r>
                  <w:r w:rsidRPr="0037651A">
                    <w:rPr>
                      <w:sz w:val="20"/>
                      <w:szCs w:val="20"/>
                      <w:lang w:val="en-US"/>
                    </w:rPr>
                    <w:t>SUERF Policy Brief</w:t>
                  </w:r>
                </w:p>
                <w:p w14:paraId="30D36AA1" w14:textId="77777777" w:rsidR="00EE5CB4" w:rsidRDefault="00EE5CB4" w:rsidP="00EE5CB4">
                  <w:pPr>
                    <w:rPr>
                      <w:sz w:val="20"/>
                      <w:szCs w:val="20"/>
                      <w:lang w:val="en-US"/>
                    </w:rPr>
                  </w:pPr>
                  <w:r w:rsidRPr="0037651A">
                    <w:rPr>
                      <w:sz w:val="20"/>
                      <w:szCs w:val="20"/>
                      <w:lang w:val="en-US"/>
                    </w:rPr>
                    <w:t> </w:t>
                  </w:r>
                </w:p>
                <w:p w14:paraId="39AE7BCE" w14:textId="77777777" w:rsidR="00EE5CB4" w:rsidRPr="0037651A" w:rsidRDefault="00EE5CB4" w:rsidP="00EE5CB4">
                  <w:pPr>
                    <w:rPr>
                      <w:sz w:val="20"/>
                      <w:szCs w:val="20"/>
                    </w:rPr>
                  </w:pPr>
                  <w:hyperlink r:id="rId45" w:history="1">
                    <w:r w:rsidRPr="0037651A">
                      <w:rPr>
                        <w:rStyle w:val="Hyperlink"/>
                        <w:sz w:val="20"/>
                        <w:szCs w:val="20"/>
                      </w:rPr>
                      <w:t>Systeemrisico’s banken en verzekeraars hoger dan gedacht</w:t>
                    </w:r>
                  </w:hyperlink>
                </w:p>
                <w:p w14:paraId="75D05517" w14:textId="77777777" w:rsidR="00EE5CB4" w:rsidRPr="00EE5519" w:rsidRDefault="00EE5CB4" w:rsidP="00EE5CB4">
                  <w:pPr>
                    <w:rPr>
                      <w:sz w:val="20"/>
                      <w:szCs w:val="20"/>
                    </w:rPr>
                  </w:pPr>
                  <w:r>
                    <w:rPr>
                      <w:sz w:val="20"/>
                      <w:szCs w:val="20"/>
                    </w:rPr>
                    <w:t xml:space="preserve">Martijn </w:t>
                  </w:r>
                  <w:r w:rsidRPr="0037651A">
                    <w:rPr>
                      <w:sz w:val="20"/>
                      <w:szCs w:val="20"/>
                    </w:rPr>
                    <w:t xml:space="preserve">Boermans </w:t>
                  </w:r>
                  <w:proofErr w:type="spellStart"/>
                  <w:r w:rsidRPr="0037651A">
                    <w:rPr>
                      <w:sz w:val="20"/>
                      <w:szCs w:val="20"/>
                    </w:rPr>
                    <w:t>and</w:t>
                  </w:r>
                  <w:proofErr w:type="spellEnd"/>
                  <w:r w:rsidRPr="0037651A">
                    <w:rPr>
                      <w:sz w:val="20"/>
                      <w:szCs w:val="20"/>
                    </w:rPr>
                    <w:t xml:space="preserve"> </w:t>
                  </w:r>
                  <w:r>
                    <w:rPr>
                      <w:sz w:val="20"/>
                      <w:szCs w:val="20"/>
                    </w:rPr>
                    <w:t xml:space="preserve">Bram </w:t>
                  </w:r>
                  <w:r w:rsidRPr="0037651A">
                    <w:rPr>
                      <w:sz w:val="20"/>
                      <w:szCs w:val="20"/>
                    </w:rPr>
                    <w:t>van der Kroft</w:t>
                  </w:r>
                </w:p>
                <w:p w14:paraId="545D4997" w14:textId="77777777" w:rsidR="00EE5CB4" w:rsidRPr="00575250" w:rsidRDefault="00EE5CB4" w:rsidP="00EE5CB4">
                  <w:pPr>
                    <w:rPr>
                      <w:sz w:val="20"/>
                      <w:szCs w:val="20"/>
                    </w:rPr>
                  </w:pPr>
                  <w:r w:rsidRPr="00575250">
                    <w:rPr>
                      <w:sz w:val="20"/>
                      <w:szCs w:val="20"/>
                    </w:rPr>
                    <w:t>Economisch Statistische Berichten</w:t>
                  </w:r>
                </w:p>
                <w:p w14:paraId="19DD17F9" w14:textId="77777777" w:rsidR="00EE5CB4" w:rsidRPr="00575250" w:rsidRDefault="00EE5CB4" w:rsidP="00EE5CB4">
                  <w:pPr>
                    <w:rPr>
                      <w:sz w:val="20"/>
                      <w:szCs w:val="20"/>
                    </w:rPr>
                  </w:pPr>
                </w:p>
                <w:p w14:paraId="51ED776F" w14:textId="77777777" w:rsidR="00EE5CB4" w:rsidRDefault="00EE5CB4" w:rsidP="00EE5CB4">
                  <w:pPr>
                    <w:rPr>
                      <w:sz w:val="20"/>
                      <w:szCs w:val="20"/>
                      <w:lang/>
                    </w:rPr>
                  </w:pPr>
                  <w:hyperlink r:id="rId46" w:history="1">
                    <w:r w:rsidRPr="00EE5519">
                      <w:rPr>
                        <w:rStyle w:val="Hyperlink"/>
                        <w:sz w:val="20"/>
                        <w:szCs w:val="20"/>
                        <w:lang/>
                      </w:rPr>
                      <w:t>De stand van de Amsterdamse kantorenmarkt in internationaal perspectief</w:t>
                    </w:r>
                  </w:hyperlink>
                </w:p>
                <w:p w14:paraId="1E0BBE35" w14:textId="77777777" w:rsidR="00EE5CB4" w:rsidRPr="0037651A" w:rsidRDefault="00EE5CB4" w:rsidP="00EE5CB4">
                  <w:pPr>
                    <w:rPr>
                      <w:sz w:val="20"/>
                      <w:szCs w:val="20"/>
                      <w:lang/>
                    </w:rPr>
                  </w:pPr>
                  <w:r w:rsidRPr="00EE5519">
                    <w:rPr>
                      <w:sz w:val="20"/>
                      <w:szCs w:val="20"/>
                      <w:lang/>
                    </w:rPr>
                    <w:t xml:space="preserve">Dorinth van Dijk </w:t>
                  </w:r>
                  <w:r>
                    <w:rPr>
                      <w:sz w:val="20"/>
                      <w:szCs w:val="20"/>
                      <w:lang/>
                    </w:rPr>
                    <w:t>and</w:t>
                  </w:r>
                  <w:r w:rsidRPr="00EE5519">
                    <w:rPr>
                      <w:sz w:val="20"/>
                      <w:szCs w:val="20"/>
                      <w:lang/>
                    </w:rPr>
                    <w:t xml:space="preserve"> Willem Vlaming</w:t>
                  </w:r>
                </w:p>
                <w:p w14:paraId="438CCBC6" w14:textId="77777777" w:rsidR="00EE5CB4" w:rsidRDefault="00EE5CB4" w:rsidP="00EE5CB4">
                  <w:pPr>
                    <w:rPr>
                      <w:sz w:val="20"/>
                      <w:szCs w:val="20"/>
                    </w:rPr>
                  </w:pPr>
                  <w:r w:rsidRPr="00EE5519">
                    <w:rPr>
                      <w:sz w:val="20"/>
                      <w:szCs w:val="20"/>
                    </w:rPr>
                    <w:t xml:space="preserve">Real </w:t>
                  </w:r>
                  <w:proofErr w:type="spellStart"/>
                  <w:r w:rsidRPr="00EE5519">
                    <w:rPr>
                      <w:sz w:val="20"/>
                      <w:szCs w:val="20"/>
                    </w:rPr>
                    <w:t>Estate</w:t>
                  </w:r>
                  <w:proofErr w:type="spellEnd"/>
                  <w:r w:rsidRPr="00EE5519">
                    <w:rPr>
                      <w:sz w:val="20"/>
                      <w:szCs w:val="20"/>
                    </w:rPr>
                    <w:t xml:space="preserve"> Research </w:t>
                  </w:r>
                  <w:proofErr w:type="spellStart"/>
                  <w:r w:rsidRPr="00EE5519">
                    <w:rPr>
                      <w:sz w:val="20"/>
                      <w:szCs w:val="20"/>
                    </w:rPr>
                    <w:t>Quarterly</w:t>
                  </w:r>
                  <w:proofErr w:type="spellEnd"/>
                </w:p>
                <w:p w14:paraId="0B724094" w14:textId="77777777" w:rsidR="00EE5CB4" w:rsidRDefault="00EE5CB4" w:rsidP="00EE5CB4">
                  <w:pPr>
                    <w:rPr>
                      <w:sz w:val="20"/>
                      <w:szCs w:val="20"/>
                    </w:rPr>
                  </w:pPr>
                </w:p>
                <w:p w14:paraId="3924127B" w14:textId="77777777" w:rsidR="00EE5CB4" w:rsidRDefault="00EE5CB4" w:rsidP="00EE5CB4">
                  <w:pPr>
                    <w:rPr>
                      <w:sz w:val="20"/>
                      <w:szCs w:val="20"/>
                      <w:lang/>
                    </w:rPr>
                  </w:pPr>
                  <w:hyperlink r:id="rId47" w:history="1">
                    <w:r w:rsidRPr="00EE5519">
                      <w:rPr>
                        <w:rStyle w:val="Hyperlink"/>
                        <w:sz w:val="20"/>
                        <w:szCs w:val="20"/>
                        <w:lang/>
                      </w:rPr>
                      <w:t>Betaalbaarheid van woningen sinds 2013 fors verslechterd</w:t>
                    </w:r>
                  </w:hyperlink>
                </w:p>
                <w:p w14:paraId="37E5D2AC" w14:textId="77777777" w:rsidR="00EE5CB4" w:rsidRDefault="00EE5CB4" w:rsidP="00EE5CB4">
                  <w:pPr>
                    <w:rPr>
                      <w:sz w:val="20"/>
                      <w:szCs w:val="20"/>
                      <w:lang/>
                    </w:rPr>
                  </w:pPr>
                  <w:r>
                    <w:rPr>
                      <w:sz w:val="20"/>
                      <w:szCs w:val="20"/>
                      <w:lang/>
                    </w:rPr>
                    <w:t>Niek de Meijier and Dorinth van Dijk</w:t>
                  </w:r>
                </w:p>
                <w:p w14:paraId="06CFF019" w14:textId="77777777" w:rsidR="00EE5CB4" w:rsidRPr="00EE5519" w:rsidRDefault="00EE5CB4" w:rsidP="00EE5CB4">
                  <w:pPr>
                    <w:rPr>
                      <w:sz w:val="20"/>
                      <w:szCs w:val="20"/>
                      <w:lang/>
                    </w:rPr>
                  </w:pPr>
                  <w:r w:rsidRPr="00EE5519">
                    <w:rPr>
                      <w:sz w:val="20"/>
                      <w:szCs w:val="20"/>
                      <w:lang/>
                    </w:rPr>
                    <w:t>Economisch Statistische Berichten Kort</w:t>
                  </w:r>
                </w:p>
                <w:p w14:paraId="35A80EC8" w14:textId="7431A99D" w:rsidR="005A582B" w:rsidRPr="005A582B" w:rsidRDefault="00992815" w:rsidP="005A582B">
                  <w:pPr>
                    <w:jc w:val="both"/>
                    <w:rPr>
                      <w:sz w:val="20"/>
                      <w:szCs w:val="20"/>
                    </w:rPr>
                  </w:pPr>
                  <w:r>
                    <w:rPr>
                      <w:b/>
                      <w:sz w:val="20"/>
                      <w:szCs w:val="20"/>
                    </w:rPr>
                    <w:br/>
                  </w:r>
                  <w:hyperlink w:anchor="R1top" w:history="1">
                    <w:r w:rsidR="005A582B" w:rsidRPr="005A582B">
                      <w:rPr>
                        <w:rStyle w:val="Hyperlink"/>
                        <w:sz w:val="20"/>
                        <w:szCs w:val="20"/>
                      </w:rPr>
                      <w:t xml:space="preserve">Go </w:t>
                    </w:r>
                    <w:proofErr w:type="spellStart"/>
                    <w:r w:rsidR="005A582B" w:rsidRPr="005A582B">
                      <w:rPr>
                        <w:rStyle w:val="Hyperlink"/>
                        <w:sz w:val="20"/>
                        <w:szCs w:val="20"/>
                      </w:rPr>
                      <w:t>to</w:t>
                    </w:r>
                    <w:proofErr w:type="spellEnd"/>
                    <w:r w:rsidR="005A582B" w:rsidRPr="005A582B">
                      <w:rPr>
                        <w:rStyle w:val="Hyperlink"/>
                        <w:sz w:val="20"/>
                        <w:szCs w:val="20"/>
                      </w:rPr>
                      <w:t xml:space="preserve"> </w:t>
                    </w:r>
                    <w:proofErr w:type="spellStart"/>
                    <w:r w:rsidR="005A582B" w:rsidRPr="005A582B">
                      <w:rPr>
                        <w:rStyle w:val="Hyperlink"/>
                        <w:sz w:val="20"/>
                        <w:szCs w:val="20"/>
                      </w:rPr>
                      <w:t>the</w:t>
                    </w:r>
                    <w:proofErr w:type="spellEnd"/>
                    <w:r w:rsidR="005A582B" w:rsidRPr="005A582B">
                      <w:rPr>
                        <w:rStyle w:val="Hyperlink"/>
                        <w:sz w:val="20"/>
                        <w:szCs w:val="20"/>
                      </w:rPr>
                      <w:t xml:space="preserve"> Top.</w:t>
                    </w:r>
                  </w:hyperlink>
                </w:p>
                <w:p w14:paraId="655C16E8" w14:textId="0B4BD83D" w:rsidR="00992815" w:rsidRPr="00992815" w:rsidRDefault="00992815" w:rsidP="00992815">
                  <w:pPr>
                    <w:spacing w:line="240" w:lineRule="auto"/>
                    <w:rPr>
                      <w:sz w:val="20"/>
                      <w:szCs w:val="20"/>
                    </w:rPr>
                  </w:pPr>
                </w:p>
                <w:p w14:paraId="4AD85E20" w14:textId="77777777" w:rsidR="00F75762" w:rsidRPr="00B6267B" w:rsidRDefault="00F75762" w:rsidP="001D4AD3">
                  <w:pPr>
                    <w:rPr>
                      <w:color w:val="1226AA"/>
                      <w:sz w:val="20"/>
                      <w:szCs w:val="20"/>
                      <w:lang w:val="en-US"/>
                    </w:rPr>
                  </w:pPr>
                </w:p>
                <w:tbl>
                  <w:tblPr>
                    <w:tblW w:w="5000" w:type="pct"/>
                    <w:shd w:val="clear" w:color="auto" w:fill="1226AA"/>
                    <w:tblCellMar>
                      <w:left w:w="0" w:type="dxa"/>
                      <w:right w:w="0" w:type="dxa"/>
                    </w:tblCellMar>
                    <w:tblLook w:val="04A0" w:firstRow="1" w:lastRow="0" w:firstColumn="1" w:lastColumn="0" w:noHBand="0" w:noVBand="1"/>
                  </w:tblPr>
                  <w:tblGrid>
                    <w:gridCol w:w="7722"/>
                  </w:tblGrid>
                  <w:tr w:rsidR="00F75762" w:rsidRPr="00EE5CB4" w14:paraId="34C8A953" w14:textId="77777777" w:rsidTr="001D4AD3">
                    <w:trPr>
                      <w:trHeight w:val="340"/>
                    </w:trPr>
                    <w:tc>
                      <w:tcPr>
                        <w:tcW w:w="5000" w:type="pct"/>
                        <w:shd w:val="clear" w:color="auto" w:fill="1226AA"/>
                        <w:tcMar>
                          <w:top w:w="57" w:type="dxa"/>
                          <w:left w:w="170" w:type="dxa"/>
                          <w:bottom w:w="57" w:type="dxa"/>
                        </w:tcMar>
                      </w:tcPr>
                      <w:p w14:paraId="699FDC05" w14:textId="77777777" w:rsidR="00F75762" w:rsidRPr="00B6267B" w:rsidRDefault="00F75762" w:rsidP="001D4AD3">
                        <w:pPr>
                          <w:spacing w:line="240" w:lineRule="auto"/>
                          <w:rPr>
                            <w:color w:val="FFFFFF" w:themeColor="background1"/>
                            <w:sz w:val="20"/>
                            <w:szCs w:val="20"/>
                            <w:lang w:val="en-US"/>
                          </w:rPr>
                        </w:pPr>
                        <w:r w:rsidRPr="00B6267B">
                          <w:rPr>
                            <w:color w:val="FEFEFE"/>
                            <w:sz w:val="20"/>
                            <w:szCs w:val="20"/>
                            <w:lang w:val="en-US"/>
                          </w:rPr>
                          <w:t>Events</w:t>
                        </w:r>
                      </w:p>
                    </w:tc>
                  </w:tr>
                </w:tbl>
                <w:p w14:paraId="11149226" w14:textId="77777777" w:rsidR="00F75762" w:rsidRPr="00B6267B" w:rsidRDefault="00F75762" w:rsidP="001D4AD3">
                  <w:pPr>
                    <w:rPr>
                      <w:color w:val="1226AA"/>
                      <w:sz w:val="20"/>
                      <w:szCs w:val="20"/>
                      <w:lang w:val="en-US"/>
                    </w:rPr>
                  </w:pPr>
                  <w:r w:rsidRPr="00B6267B">
                    <w:rPr>
                      <w:b/>
                      <w:color w:val="1226AA"/>
                      <w:sz w:val="20"/>
                      <w:szCs w:val="20"/>
                      <w:lang w:val="en-US"/>
                    </w:rPr>
                    <w:t>Research seminars</w:t>
                  </w:r>
                </w:p>
                <w:p w14:paraId="5D3769BC" w14:textId="77777777" w:rsidR="00F75762" w:rsidRPr="00EE5CB4" w:rsidRDefault="00F75762" w:rsidP="001D4AD3">
                  <w:pPr>
                    <w:rPr>
                      <w:b/>
                      <w:color w:val="1226AA"/>
                      <w:sz w:val="20"/>
                      <w:szCs w:val="20"/>
                    </w:rPr>
                  </w:pPr>
                  <w:r w:rsidRPr="00EE5CB4">
                    <w:rPr>
                      <w:b/>
                      <w:color w:val="1226AA"/>
                      <w:sz w:val="20"/>
                      <w:szCs w:val="20"/>
                    </w:rPr>
                    <w:t>Past</w:t>
                  </w:r>
                </w:p>
                <w:p w14:paraId="318C3276" w14:textId="29BFBCB7" w:rsidR="004A7EA2" w:rsidRPr="00D308C7" w:rsidRDefault="004A7EA2" w:rsidP="00BC3FFD">
                  <w:pPr>
                    <w:rPr>
                      <w:bCs/>
                      <w:color w:val="1226AA"/>
                      <w:sz w:val="20"/>
                      <w:szCs w:val="20"/>
                      <w:lang w:val="en-US"/>
                    </w:rPr>
                  </w:pPr>
                  <w:r w:rsidRPr="00D308C7">
                    <w:rPr>
                      <w:b/>
                      <w:color w:val="1226AA"/>
                      <w:sz w:val="20"/>
                      <w:szCs w:val="20"/>
                      <w:lang w:val="en-US"/>
                    </w:rPr>
                    <w:t xml:space="preserve">01 Oct 2024: </w:t>
                  </w:r>
                  <w:r w:rsidRPr="00D308C7">
                    <w:rPr>
                      <w:bCs/>
                      <w:color w:val="1226AA"/>
                      <w:sz w:val="20"/>
                      <w:szCs w:val="20"/>
                      <w:lang w:val="en-US"/>
                    </w:rPr>
                    <w:t>Agreed and Disagreed Uncertainty</w:t>
                  </w:r>
                  <w:r w:rsidRPr="00D308C7">
                    <w:rPr>
                      <w:bCs/>
                      <w:color w:val="1226AA"/>
                      <w:sz w:val="20"/>
                      <w:szCs w:val="20"/>
                      <w:lang w:val="en-US"/>
                    </w:rPr>
                    <w:br/>
                    <w:t>Francesco Zanetti (University of Oxford)</w:t>
                  </w:r>
                  <w:r w:rsidRPr="00D308C7">
                    <w:rPr>
                      <w:bCs/>
                      <w:color w:val="1226AA"/>
                      <w:sz w:val="20"/>
                      <w:szCs w:val="20"/>
                      <w:lang w:val="en-US"/>
                    </w:rPr>
                    <w:br/>
                  </w:r>
                  <w:r w:rsidRPr="00D308C7">
                    <w:rPr>
                      <w:b/>
                      <w:color w:val="1226AA"/>
                      <w:sz w:val="20"/>
                      <w:szCs w:val="20"/>
                      <w:lang w:val="en-US"/>
                    </w:rPr>
                    <w:t xml:space="preserve">08 Oct 2024: </w:t>
                  </w:r>
                  <w:r w:rsidRPr="00D308C7">
                    <w:rPr>
                      <w:bCs/>
                      <w:color w:val="1226AA"/>
                      <w:sz w:val="20"/>
                      <w:szCs w:val="20"/>
                      <w:lang w:val="en-US"/>
                    </w:rPr>
                    <w:t>Masters of Illusion: How Much do Banks Hide?</w:t>
                  </w:r>
                  <w:r w:rsidRPr="00D308C7">
                    <w:rPr>
                      <w:bCs/>
                      <w:color w:val="1226AA"/>
                      <w:sz w:val="20"/>
                      <w:szCs w:val="20"/>
                      <w:lang w:val="en-US"/>
                    </w:rPr>
                    <w:br/>
                  </w:r>
                  <w:r w:rsidRPr="00D308C7">
                    <w:rPr>
                      <w:bCs/>
                      <w:color w:val="1226AA"/>
                      <w:sz w:val="20"/>
                      <w:szCs w:val="20"/>
                      <w:lang w:val="en-US"/>
                    </w:rPr>
                    <w:lastRenderedPageBreak/>
                    <w:t>Roman Goncharenko (KU Leuven)</w:t>
                  </w:r>
                  <w:r w:rsidRPr="00D308C7">
                    <w:rPr>
                      <w:bCs/>
                      <w:color w:val="1226AA"/>
                      <w:sz w:val="20"/>
                      <w:szCs w:val="20"/>
                      <w:lang w:val="en-US"/>
                    </w:rPr>
                    <w:br/>
                  </w:r>
                  <w:r w:rsidRPr="00D308C7">
                    <w:rPr>
                      <w:b/>
                      <w:color w:val="1226AA"/>
                      <w:sz w:val="20"/>
                      <w:szCs w:val="20"/>
                      <w:lang w:val="en-US"/>
                    </w:rPr>
                    <w:t>10 Oct 2024:</w:t>
                  </w:r>
                  <w:r w:rsidRPr="00D308C7">
                    <w:rPr>
                      <w:bCs/>
                      <w:color w:val="1226AA"/>
                      <w:sz w:val="20"/>
                      <w:szCs w:val="20"/>
                      <w:lang w:val="en-US"/>
                    </w:rPr>
                    <w:t xml:space="preserve"> Health Inequality and Economic Disparities by Race, Ethnicity, and Gender</w:t>
                  </w:r>
                  <w:r w:rsidRPr="00D308C7">
                    <w:rPr>
                      <w:bCs/>
                      <w:color w:val="1226AA"/>
                      <w:sz w:val="20"/>
                      <w:szCs w:val="20"/>
                      <w:lang w:val="en-US"/>
                    </w:rPr>
                    <w:br/>
                    <w:t>Mariacristina Denardi (University of Minnesota)</w:t>
                  </w:r>
                </w:p>
                <w:p w14:paraId="0AD73816" w14:textId="212A1E38" w:rsidR="004A7EA2" w:rsidRPr="00D308C7" w:rsidRDefault="004A7EA2" w:rsidP="00BC3FFD">
                  <w:pPr>
                    <w:rPr>
                      <w:bCs/>
                      <w:color w:val="1226AA"/>
                      <w:sz w:val="20"/>
                      <w:szCs w:val="20"/>
                      <w:lang w:val="en-US"/>
                    </w:rPr>
                  </w:pPr>
                  <w:r w:rsidRPr="00D308C7">
                    <w:rPr>
                      <w:b/>
                      <w:color w:val="1226AA"/>
                      <w:sz w:val="20"/>
                      <w:szCs w:val="20"/>
                      <w:lang w:val="en-US"/>
                    </w:rPr>
                    <w:t xml:space="preserve">15 Oct 2024: </w:t>
                  </w:r>
                  <w:r w:rsidRPr="00D308C7">
                    <w:rPr>
                      <w:bCs/>
                      <w:color w:val="1226AA"/>
                      <w:sz w:val="20"/>
                      <w:szCs w:val="20"/>
                      <w:lang w:val="en-US"/>
                    </w:rPr>
                    <w:t>Non-Gaussian Business Cycle</w:t>
                  </w:r>
                  <w:r w:rsidRPr="00D308C7">
                    <w:rPr>
                      <w:b/>
                      <w:color w:val="1226AA"/>
                      <w:sz w:val="20"/>
                      <w:szCs w:val="20"/>
                      <w:lang w:val="en-US"/>
                    </w:rPr>
                    <w:br/>
                  </w:r>
                  <w:r w:rsidRPr="00D308C7">
                    <w:rPr>
                      <w:bCs/>
                      <w:color w:val="1226AA"/>
                      <w:sz w:val="20"/>
                      <w:szCs w:val="20"/>
                      <w:lang w:val="en-US"/>
                    </w:rPr>
                    <w:t>Michele Piffer (Bank of England, King’s College London)</w:t>
                  </w:r>
                </w:p>
                <w:p w14:paraId="1CD25546" w14:textId="537A6B8F" w:rsidR="004A7EA2" w:rsidRPr="00D308C7" w:rsidRDefault="004A7EA2" w:rsidP="00BC3FFD">
                  <w:pPr>
                    <w:rPr>
                      <w:bCs/>
                      <w:color w:val="1226AA"/>
                      <w:sz w:val="20"/>
                      <w:szCs w:val="20"/>
                      <w:lang w:val="en-US"/>
                    </w:rPr>
                  </w:pPr>
                  <w:r w:rsidRPr="00D308C7">
                    <w:rPr>
                      <w:bCs/>
                      <w:color w:val="1226AA"/>
                      <w:sz w:val="20"/>
                      <w:szCs w:val="20"/>
                      <w:lang w:val="en-US"/>
                    </w:rPr>
                    <w:t>17 Oct 2024: Tracking Sectoral Economic Condition</w:t>
                  </w:r>
                  <w:r w:rsidRPr="00D308C7">
                    <w:rPr>
                      <w:bCs/>
                      <w:color w:val="1226AA"/>
                      <w:sz w:val="20"/>
                      <w:szCs w:val="20"/>
                      <w:lang w:val="en-US"/>
                    </w:rPr>
                    <w:br/>
                    <w:t xml:space="preserve">Daan </w:t>
                  </w:r>
                  <w:proofErr w:type="spellStart"/>
                  <w:r w:rsidRPr="00D308C7">
                    <w:rPr>
                      <w:bCs/>
                      <w:color w:val="1226AA"/>
                      <w:sz w:val="20"/>
                      <w:szCs w:val="20"/>
                      <w:lang w:val="en-US"/>
                    </w:rPr>
                    <w:t>Opschoor</w:t>
                  </w:r>
                  <w:proofErr w:type="spellEnd"/>
                  <w:r w:rsidRPr="00D308C7">
                    <w:rPr>
                      <w:bCs/>
                      <w:color w:val="1226AA"/>
                      <w:sz w:val="20"/>
                      <w:szCs w:val="20"/>
                      <w:lang w:val="en-US"/>
                    </w:rPr>
                    <w:br/>
                  </w:r>
                  <w:r w:rsidR="00DC1A8C" w:rsidRPr="00D308C7">
                    <w:rPr>
                      <w:b/>
                      <w:color w:val="1226AA"/>
                      <w:sz w:val="20"/>
                      <w:szCs w:val="20"/>
                      <w:lang w:val="en-US"/>
                    </w:rPr>
                    <w:t>22 Oct 2024:</w:t>
                  </w:r>
                  <w:r w:rsidR="00DC1A8C" w:rsidRPr="00D308C7">
                    <w:rPr>
                      <w:bCs/>
                      <w:color w:val="1226AA"/>
                      <w:sz w:val="20"/>
                      <w:szCs w:val="20"/>
                      <w:lang w:val="en-US"/>
                    </w:rPr>
                    <w:t xml:space="preserve"> Fiscal backing, inflation and US business cycles</w:t>
                  </w:r>
                </w:p>
                <w:p w14:paraId="1F4EA409" w14:textId="10747D79" w:rsidR="00DC1A8C" w:rsidRPr="00D308C7" w:rsidRDefault="00DC1A8C" w:rsidP="00BC3FFD">
                  <w:pPr>
                    <w:rPr>
                      <w:bCs/>
                      <w:color w:val="1226AA"/>
                      <w:sz w:val="20"/>
                      <w:szCs w:val="20"/>
                      <w:lang w:val="en-US"/>
                    </w:rPr>
                  </w:pPr>
                  <w:r w:rsidRPr="00D308C7">
                    <w:rPr>
                      <w:bCs/>
                      <w:color w:val="1226AA"/>
                      <w:sz w:val="20"/>
                      <w:szCs w:val="20"/>
                      <w:lang w:val="en-US"/>
                    </w:rPr>
                    <w:t>Frank Smets (European Central Bank)</w:t>
                  </w:r>
                </w:p>
                <w:p w14:paraId="38D8EC8C" w14:textId="5BCF6122" w:rsidR="00DC1A8C" w:rsidRPr="00D308C7" w:rsidRDefault="00DC1A8C" w:rsidP="00BC3FFD">
                  <w:pPr>
                    <w:rPr>
                      <w:b/>
                      <w:color w:val="1226AA"/>
                      <w:sz w:val="20"/>
                      <w:szCs w:val="20"/>
                    </w:rPr>
                  </w:pPr>
                  <w:r w:rsidRPr="00D308C7">
                    <w:rPr>
                      <w:b/>
                      <w:color w:val="1226AA"/>
                      <w:sz w:val="20"/>
                      <w:szCs w:val="20"/>
                    </w:rPr>
                    <w:t>12 Nov 2024:</w:t>
                  </w:r>
                  <w:r w:rsidRPr="00D308C7">
                    <w:rPr>
                      <w:sz w:val="20"/>
                      <w:szCs w:val="20"/>
                    </w:rPr>
                    <w:t xml:space="preserve"> </w:t>
                  </w:r>
                  <w:proofErr w:type="spellStart"/>
                  <w:r w:rsidRPr="00D308C7">
                    <w:rPr>
                      <w:bCs/>
                      <w:color w:val="1226AA"/>
                      <w:sz w:val="20"/>
                      <w:szCs w:val="20"/>
                    </w:rPr>
                    <w:t>Shadow-Rate</w:t>
                  </w:r>
                  <w:proofErr w:type="spellEnd"/>
                  <w:r w:rsidRPr="00D308C7">
                    <w:rPr>
                      <w:bCs/>
                      <w:color w:val="1226AA"/>
                      <w:sz w:val="20"/>
                      <w:szCs w:val="20"/>
                    </w:rPr>
                    <w:t xml:space="preserve"> </w:t>
                  </w:r>
                  <w:proofErr w:type="spellStart"/>
                  <w:r w:rsidRPr="00D308C7">
                    <w:rPr>
                      <w:bCs/>
                      <w:color w:val="1226AA"/>
                      <w:sz w:val="20"/>
                      <w:szCs w:val="20"/>
                    </w:rPr>
                    <w:t>VARs</w:t>
                  </w:r>
                  <w:proofErr w:type="spellEnd"/>
                  <w:r w:rsidRPr="00D308C7">
                    <w:rPr>
                      <w:b/>
                      <w:color w:val="1226AA"/>
                      <w:sz w:val="20"/>
                      <w:szCs w:val="20"/>
                    </w:rPr>
                    <w:t xml:space="preserve"> </w:t>
                  </w:r>
                  <w:r w:rsidRPr="00D308C7">
                    <w:rPr>
                      <w:b/>
                      <w:color w:val="1226AA"/>
                      <w:sz w:val="20"/>
                      <w:szCs w:val="20"/>
                    </w:rPr>
                    <w:br/>
                  </w:r>
                  <w:r w:rsidRPr="00D308C7">
                    <w:rPr>
                      <w:bCs/>
                      <w:color w:val="1226AA"/>
                      <w:sz w:val="20"/>
                      <w:szCs w:val="20"/>
                    </w:rPr>
                    <w:t>Elmar Mertens (Deutsche Bundesbank)</w:t>
                  </w:r>
                </w:p>
                <w:p w14:paraId="26DD12C8" w14:textId="38109875" w:rsidR="00DC1A8C" w:rsidRPr="00D308C7" w:rsidRDefault="00DC1A8C" w:rsidP="00BC3FFD">
                  <w:pPr>
                    <w:rPr>
                      <w:b/>
                      <w:color w:val="1226AA"/>
                      <w:sz w:val="20"/>
                      <w:szCs w:val="20"/>
                      <w:lang w:val="en-US"/>
                    </w:rPr>
                  </w:pPr>
                  <w:r w:rsidRPr="00D308C7">
                    <w:rPr>
                      <w:b/>
                      <w:color w:val="1226AA"/>
                      <w:sz w:val="20"/>
                      <w:szCs w:val="20"/>
                      <w:lang w:val="en-US"/>
                    </w:rPr>
                    <w:t xml:space="preserve">19 Nov 2024: </w:t>
                  </w:r>
                  <w:r w:rsidRPr="00D308C7">
                    <w:rPr>
                      <w:bCs/>
                      <w:color w:val="1226AA"/>
                      <w:sz w:val="20"/>
                      <w:szCs w:val="20"/>
                      <w:lang w:val="en-US"/>
                    </w:rPr>
                    <w:t>Regularized estimation of heterogeneous panel data models with dynamic factors and local cross-sectional dependence</w:t>
                  </w:r>
                </w:p>
                <w:p w14:paraId="658C9598" w14:textId="3FF8EA01" w:rsidR="00DC1A8C" w:rsidRPr="00D308C7" w:rsidRDefault="00DC1A8C" w:rsidP="00BC3FFD">
                  <w:pPr>
                    <w:rPr>
                      <w:b/>
                      <w:color w:val="1226AA"/>
                      <w:sz w:val="20"/>
                      <w:szCs w:val="20"/>
                      <w:lang w:val="en-US"/>
                    </w:rPr>
                  </w:pPr>
                  <w:r w:rsidRPr="00D308C7">
                    <w:rPr>
                      <w:bCs/>
                      <w:color w:val="1226AA"/>
                      <w:sz w:val="20"/>
                      <w:szCs w:val="20"/>
                      <w:lang w:val="en-US"/>
                    </w:rPr>
                    <w:t>Julia Schaumburg (Vrije University Amsterdam)</w:t>
                  </w:r>
                  <w:r w:rsidRPr="00D308C7">
                    <w:rPr>
                      <w:b/>
                      <w:color w:val="1226AA"/>
                      <w:sz w:val="20"/>
                      <w:szCs w:val="20"/>
                      <w:lang w:val="en-US"/>
                    </w:rPr>
                    <w:br/>
                    <w:t>26 Nov 2024:</w:t>
                  </w:r>
                  <w:r w:rsidRPr="00D308C7">
                    <w:rPr>
                      <w:sz w:val="20"/>
                      <w:szCs w:val="20"/>
                      <w:lang w:val="en-US"/>
                    </w:rPr>
                    <w:t xml:space="preserve"> </w:t>
                  </w:r>
                  <w:r w:rsidRPr="00D308C7">
                    <w:rPr>
                      <w:bCs/>
                      <w:color w:val="1226AA"/>
                      <w:sz w:val="20"/>
                      <w:szCs w:val="20"/>
                      <w:lang w:val="en-US"/>
                    </w:rPr>
                    <w:t>Emissions intensity dynamics: the role of macro and industry-specific shocks</w:t>
                  </w:r>
                  <w:r w:rsidRPr="00D308C7">
                    <w:rPr>
                      <w:bCs/>
                      <w:color w:val="1226AA"/>
                      <w:sz w:val="20"/>
                      <w:szCs w:val="20"/>
                      <w:lang w:val="en-US"/>
                    </w:rPr>
                    <w:br/>
                    <w:t>François Lafond (University of Oxford)</w:t>
                  </w:r>
                </w:p>
                <w:p w14:paraId="123440BA" w14:textId="5D3A5CF6" w:rsidR="00DC1A8C" w:rsidRPr="00D308C7" w:rsidRDefault="00DC1A8C" w:rsidP="00BC3FFD">
                  <w:pPr>
                    <w:rPr>
                      <w:bCs/>
                      <w:color w:val="1226AA"/>
                      <w:sz w:val="20"/>
                      <w:szCs w:val="20"/>
                      <w:lang w:val="en-US"/>
                    </w:rPr>
                  </w:pPr>
                  <w:r w:rsidRPr="00D308C7">
                    <w:rPr>
                      <w:b/>
                      <w:color w:val="1226AA"/>
                      <w:sz w:val="20"/>
                      <w:szCs w:val="20"/>
                      <w:lang w:val="en-US"/>
                    </w:rPr>
                    <w:t>28 Nov 2024:</w:t>
                  </w:r>
                  <w:r w:rsidRPr="00D308C7">
                    <w:rPr>
                      <w:sz w:val="20"/>
                      <w:szCs w:val="20"/>
                      <w:lang w:val="en-US"/>
                    </w:rPr>
                    <w:t xml:space="preserve"> </w:t>
                  </w:r>
                  <w:r w:rsidRPr="00D308C7">
                    <w:rPr>
                      <w:bCs/>
                      <w:color w:val="1226AA"/>
                      <w:sz w:val="20"/>
                      <w:szCs w:val="20"/>
                      <w:lang w:val="en-US"/>
                    </w:rPr>
                    <w:t>The impact of the Net Zero transition on aggregate productivity</w:t>
                  </w:r>
                </w:p>
                <w:p w14:paraId="360F8617" w14:textId="609885D3" w:rsidR="00DC1A8C" w:rsidRPr="00D308C7" w:rsidRDefault="00DC1A8C" w:rsidP="00BC3FFD">
                  <w:pPr>
                    <w:rPr>
                      <w:bCs/>
                      <w:color w:val="1226AA"/>
                      <w:sz w:val="20"/>
                      <w:szCs w:val="20"/>
                      <w:lang w:val="en-US"/>
                    </w:rPr>
                  </w:pPr>
                  <w:proofErr w:type="spellStart"/>
                  <w:r w:rsidRPr="00D308C7">
                    <w:rPr>
                      <w:bCs/>
                      <w:color w:val="1226AA"/>
                      <w:sz w:val="20"/>
                      <w:szCs w:val="20"/>
                      <w:lang w:val="en-US"/>
                    </w:rPr>
                    <w:t>Emillien</w:t>
                  </w:r>
                  <w:proofErr w:type="spellEnd"/>
                  <w:r w:rsidRPr="00D308C7">
                    <w:rPr>
                      <w:bCs/>
                      <w:color w:val="1226AA"/>
                      <w:sz w:val="20"/>
                      <w:szCs w:val="20"/>
                      <w:lang w:val="en-US"/>
                    </w:rPr>
                    <w:t xml:space="preserve"> </w:t>
                  </w:r>
                  <w:proofErr w:type="spellStart"/>
                  <w:r w:rsidRPr="00D308C7">
                    <w:rPr>
                      <w:bCs/>
                      <w:color w:val="1226AA"/>
                      <w:sz w:val="20"/>
                      <w:szCs w:val="20"/>
                      <w:lang w:val="en-US"/>
                    </w:rPr>
                    <w:t>Ravigne</w:t>
                  </w:r>
                  <w:proofErr w:type="spellEnd"/>
                  <w:r w:rsidRPr="00D308C7">
                    <w:rPr>
                      <w:bCs/>
                      <w:color w:val="1226AA"/>
                      <w:sz w:val="20"/>
                      <w:szCs w:val="20"/>
                      <w:lang w:val="en-US"/>
                    </w:rPr>
                    <w:t xml:space="preserve"> (University of Oxford)</w:t>
                  </w:r>
                </w:p>
                <w:p w14:paraId="5016A905" w14:textId="77777777" w:rsidR="00F75762" w:rsidRPr="00D308C7" w:rsidRDefault="00F75762" w:rsidP="001D4AD3">
                  <w:pPr>
                    <w:rPr>
                      <w:b/>
                      <w:color w:val="1226AA"/>
                      <w:sz w:val="20"/>
                      <w:szCs w:val="20"/>
                    </w:rPr>
                  </w:pPr>
                </w:p>
                <w:p w14:paraId="105F028E" w14:textId="77777777" w:rsidR="00F75762" w:rsidRPr="00D308C7" w:rsidRDefault="00F75762" w:rsidP="001D4AD3">
                  <w:pPr>
                    <w:rPr>
                      <w:color w:val="1226AA"/>
                      <w:sz w:val="20"/>
                      <w:szCs w:val="20"/>
                      <w:lang w:val="en-US"/>
                    </w:rPr>
                  </w:pPr>
                  <w:r w:rsidRPr="00D308C7">
                    <w:rPr>
                      <w:b/>
                      <w:color w:val="1226AA"/>
                      <w:sz w:val="20"/>
                      <w:szCs w:val="20"/>
                      <w:lang w:val="en-US"/>
                    </w:rPr>
                    <w:t>Forthcoming</w:t>
                  </w:r>
                  <w:r w:rsidRPr="00D308C7">
                    <w:rPr>
                      <w:color w:val="1226AA"/>
                      <w:sz w:val="20"/>
                      <w:szCs w:val="20"/>
                      <w:lang w:val="en-US"/>
                    </w:rPr>
                    <w:t xml:space="preserve"> </w:t>
                  </w:r>
                </w:p>
                <w:p w14:paraId="10960656" w14:textId="1C93F3C8" w:rsidR="007334FC" w:rsidRPr="00D308C7" w:rsidRDefault="00DC1A8C" w:rsidP="00CD57C0">
                  <w:pPr>
                    <w:rPr>
                      <w:b/>
                      <w:color w:val="1226AA"/>
                      <w:sz w:val="20"/>
                      <w:szCs w:val="20"/>
                      <w:lang w:val="en-US"/>
                    </w:rPr>
                  </w:pPr>
                  <w:r w:rsidRPr="00D308C7">
                    <w:rPr>
                      <w:b/>
                      <w:color w:val="1226AA"/>
                      <w:sz w:val="20"/>
                      <w:szCs w:val="20"/>
                      <w:lang w:val="en-US"/>
                    </w:rPr>
                    <w:t xml:space="preserve">20 Feb 2025: </w:t>
                  </w:r>
                  <w:r w:rsidRPr="00D308C7">
                    <w:rPr>
                      <w:bCs/>
                      <w:color w:val="1226AA"/>
                      <w:sz w:val="20"/>
                      <w:szCs w:val="20"/>
                      <w:lang w:val="en-US"/>
                    </w:rPr>
                    <w:t>TBA</w:t>
                  </w:r>
                  <w:r w:rsidRPr="00D308C7">
                    <w:rPr>
                      <w:bCs/>
                      <w:color w:val="1226AA"/>
                      <w:sz w:val="20"/>
                      <w:szCs w:val="20"/>
                      <w:lang w:val="en-US"/>
                    </w:rPr>
                    <w:br/>
                    <w:t>Sam Fankhauser (University of Oxford)</w:t>
                  </w:r>
                  <w:r w:rsidRPr="00D308C7">
                    <w:rPr>
                      <w:b/>
                      <w:color w:val="1226AA"/>
                      <w:sz w:val="20"/>
                      <w:szCs w:val="20"/>
                      <w:lang w:val="en-US"/>
                    </w:rPr>
                    <w:br/>
                    <w:t xml:space="preserve">06 Mar 2025: </w:t>
                  </w:r>
                  <w:r w:rsidRPr="00D308C7">
                    <w:rPr>
                      <w:bCs/>
                      <w:color w:val="1226AA"/>
                      <w:sz w:val="20"/>
                      <w:szCs w:val="20"/>
                      <w:lang w:val="en-US"/>
                    </w:rPr>
                    <w:t>TBA</w:t>
                  </w:r>
                  <w:r w:rsidRPr="00D308C7">
                    <w:rPr>
                      <w:bCs/>
                      <w:color w:val="1226AA"/>
                      <w:sz w:val="20"/>
                      <w:szCs w:val="20"/>
                      <w:lang w:val="en-US"/>
                    </w:rPr>
                    <w:br/>
                    <w:t xml:space="preserve">Annika </w:t>
                  </w:r>
                  <w:proofErr w:type="spellStart"/>
                  <w:r w:rsidRPr="00D308C7">
                    <w:rPr>
                      <w:bCs/>
                      <w:color w:val="1226AA"/>
                      <w:sz w:val="20"/>
                      <w:szCs w:val="20"/>
                      <w:lang w:val="en-US"/>
                    </w:rPr>
                    <w:t>Camehl</w:t>
                  </w:r>
                  <w:proofErr w:type="spellEnd"/>
                  <w:r w:rsidR="00D308C7" w:rsidRPr="00D308C7">
                    <w:rPr>
                      <w:bCs/>
                      <w:color w:val="1226AA"/>
                      <w:sz w:val="20"/>
                      <w:szCs w:val="20"/>
                      <w:lang w:val="en-US"/>
                    </w:rPr>
                    <w:t xml:space="preserve"> (Erasmus University Rotterdam)</w:t>
                  </w:r>
                  <w:r w:rsidRPr="00D308C7">
                    <w:rPr>
                      <w:b/>
                      <w:color w:val="1226AA"/>
                      <w:sz w:val="20"/>
                      <w:szCs w:val="20"/>
                      <w:lang w:val="en-US"/>
                    </w:rPr>
                    <w:br/>
                    <w:t>27 Mar 2025:</w:t>
                  </w:r>
                  <w:r w:rsidR="00D308C7" w:rsidRPr="00D308C7">
                    <w:rPr>
                      <w:b/>
                      <w:color w:val="1226AA"/>
                      <w:sz w:val="20"/>
                      <w:szCs w:val="20"/>
                      <w:lang w:val="en-US"/>
                    </w:rPr>
                    <w:t xml:space="preserve"> </w:t>
                  </w:r>
                  <w:r w:rsidR="00D308C7" w:rsidRPr="00D308C7">
                    <w:rPr>
                      <w:bCs/>
                      <w:color w:val="1226AA"/>
                      <w:sz w:val="20"/>
                      <w:szCs w:val="20"/>
                      <w:lang w:val="en-US"/>
                    </w:rPr>
                    <w:t>TBA</w:t>
                  </w:r>
                  <w:r w:rsidRPr="00D308C7">
                    <w:rPr>
                      <w:bCs/>
                      <w:color w:val="1226AA"/>
                      <w:sz w:val="20"/>
                      <w:szCs w:val="20"/>
                      <w:lang w:val="en-US"/>
                    </w:rPr>
                    <w:br/>
                    <w:t>Egemen Eren (Bank of International Settlements)</w:t>
                  </w:r>
                </w:p>
                <w:p w14:paraId="51FBAD40" w14:textId="0F9BDBD4" w:rsidR="00D308C7" w:rsidRPr="00D308C7" w:rsidRDefault="00D308C7" w:rsidP="00CD57C0">
                  <w:pPr>
                    <w:rPr>
                      <w:b/>
                      <w:color w:val="1226AA"/>
                      <w:sz w:val="20"/>
                      <w:szCs w:val="20"/>
                      <w:lang w:val="en-US"/>
                    </w:rPr>
                  </w:pPr>
                  <w:r w:rsidRPr="00D308C7">
                    <w:rPr>
                      <w:b/>
                      <w:color w:val="1226AA"/>
                      <w:sz w:val="20"/>
                      <w:szCs w:val="20"/>
                      <w:lang w:val="en-US"/>
                    </w:rPr>
                    <w:t xml:space="preserve">03 Apr 2025: </w:t>
                  </w:r>
                  <w:r w:rsidRPr="00D308C7">
                    <w:rPr>
                      <w:bCs/>
                      <w:color w:val="1226AA"/>
                      <w:sz w:val="20"/>
                      <w:szCs w:val="20"/>
                      <w:lang w:val="en-US"/>
                    </w:rPr>
                    <w:t>TBA</w:t>
                  </w:r>
                  <w:r w:rsidRPr="00D308C7">
                    <w:rPr>
                      <w:bCs/>
                      <w:color w:val="1226AA"/>
                      <w:sz w:val="20"/>
                      <w:szCs w:val="20"/>
                      <w:lang w:val="en-US"/>
                    </w:rPr>
                    <w:br/>
                    <w:t xml:space="preserve">Inaki </w:t>
                  </w:r>
                  <w:proofErr w:type="spellStart"/>
                  <w:r w:rsidRPr="00D308C7">
                    <w:rPr>
                      <w:bCs/>
                      <w:color w:val="1226AA"/>
                      <w:sz w:val="20"/>
                      <w:szCs w:val="20"/>
                      <w:lang w:val="en-US"/>
                    </w:rPr>
                    <w:t>Aldasoro</w:t>
                  </w:r>
                  <w:proofErr w:type="spellEnd"/>
                  <w:r w:rsidRPr="00D308C7">
                    <w:rPr>
                      <w:bCs/>
                      <w:color w:val="1226AA"/>
                      <w:sz w:val="20"/>
                      <w:szCs w:val="20"/>
                      <w:lang w:val="en-US"/>
                    </w:rPr>
                    <w:t xml:space="preserve"> (Bank of International Settlements)</w:t>
                  </w:r>
                </w:p>
                <w:p w14:paraId="4920B4B3" w14:textId="57ECC0C3" w:rsidR="00D308C7" w:rsidRPr="00D308C7" w:rsidRDefault="00D308C7" w:rsidP="00CD57C0">
                  <w:pPr>
                    <w:rPr>
                      <w:bCs/>
                      <w:color w:val="1226AA"/>
                      <w:sz w:val="20"/>
                      <w:szCs w:val="20"/>
                      <w:lang w:val="en-US"/>
                    </w:rPr>
                  </w:pPr>
                  <w:r w:rsidRPr="00D308C7">
                    <w:rPr>
                      <w:b/>
                      <w:color w:val="1226AA"/>
                      <w:sz w:val="20"/>
                      <w:szCs w:val="20"/>
                      <w:lang w:val="en-US"/>
                    </w:rPr>
                    <w:t xml:space="preserve">10 Apr 2025: </w:t>
                  </w:r>
                  <w:r w:rsidRPr="00D308C7">
                    <w:rPr>
                      <w:bCs/>
                      <w:color w:val="1226AA"/>
                      <w:sz w:val="20"/>
                      <w:szCs w:val="20"/>
                      <w:lang w:val="en-US"/>
                    </w:rPr>
                    <w:t>TBA</w:t>
                  </w:r>
                </w:p>
                <w:p w14:paraId="4F391B48" w14:textId="24588B48" w:rsidR="00D308C7" w:rsidRPr="00D308C7" w:rsidRDefault="00D308C7" w:rsidP="00CD57C0">
                  <w:pPr>
                    <w:rPr>
                      <w:bCs/>
                      <w:color w:val="1226AA"/>
                      <w:sz w:val="20"/>
                      <w:szCs w:val="20"/>
                      <w:lang w:val="en-US"/>
                    </w:rPr>
                  </w:pPr>
                  <w:r w:rsidRPr="00D308C7">
                    <w:rPr>
                      <w:bCs/>
                      <w:color w:val="1226AA"/>
                      <w:sz w:val="20"/>
                      <w:szCs w:val="20"/>
                      <w:lang w:val="en-US"/>
                    </w:rPr>
                    <w:t>Petr Sedlacek (University of New South Wales)</w:t>
                  </w:r>
                </w:p>
                <w:p w14:paraId="0DAFF565" w14:textId="00BEF0B7" w:rsidR="00D308C7" w:rsidRPr="00D308C7" w:rsidRDefault="00D308C7" w:rsidP="00CD57C0">
                  <w:pPr>
                    <w:rPr>
                      <w:bCs/>
                      <w:color w:val="1226AA"/>
                      <w:sz w:val="20"/>
                      <w:szCs w:val="20"/>
                      <w:lang w:val="en-US"/>
                    </w:rPr>
                  </w:pPr>
                  <w:r w:rsidRPr="00D308C7">
                    <w:rPr>
                      <w:b/>
                      <w:color w:val="1226AA"/>
                      <w:sz w:val="20"/>
                      <w:szCs w:val="20"/>
                      <w:lang w:val="en-US"/>
                    </w:rPr>
                    <w:t xml:space="preserve">17 Apr 2025: </w:t>
                  </w:r>
                  <w:r w:rsidRPr="00D308C7">
                    <w:rPr>
                      <w:bCs/>
                      <w:color w:val="1226AA"/>
                      <w:sz w:val="20"/>
                      <w:szCs w:val="20"/>
                      <w:lang w:val="en-US"/>
                    </w:rPr>
                    <w:t>TBA</w:t>
                  </w:r>
                </w:p>
                <w:p w14:paraId="0793A88B" w14:textId="1B2DE28F" w:rsidR="00D308C7" w:rsidRPr="00D308C7" w:rsidRDefault="00D308C7" w:rsidP="00CD57C0">
                  <w:pPr>
                    <w:rPr>
                      <w:bCs/>
                      <w:color w:val="1226AA"/>
                      <w:sz w:val="20"/>
                      <w:szCs w:val="20"/>
                      <w:lang w:val="en-US"/>
                    </w:rPr>
                  </w:pPr>
                  <w:r w:rsidRPr="00D308C7">
                    <w:rPr>
                      <w:bCs/>
                      <w:color w:val="1226AA"/>
                      <w:sz w:val="20"/>
                      <w:szCs w:val="20"/>
                      <w:lang w:val="en-US"/>
                    </w:rPr>
                    <w:t>Andrea Ferrero (University of Oxford)</w:t>
                  </w:r>
                  <w:r w:rsidRPr="00D308C7">
                    <w:rPr>
                      <w:bCs/>
                      <w:color w:val="1226AA"/>
                      <w:sz w:val="20"/>
                      <w:szCs w:val="20"/>
                      <w:lang w:val="en-US"/>
                    </w:rPr>
                    <w:br/>
                    <w:t>01 May 2025: TBA</w:t>
                  </w:r>
                </w:p>
                <w:p w14:paraId="5E773D2E" w14:textId="0034B7EB" w:rsidR="00D308C7" w:rsidRPr="00D308C7" w:rsidRDefault="00D308C7" w:rsidP="00CD57C0">
                  <w:pPr>
                    <w:rPr>
                      <w:bCs/>
                      <w:color w:val="1226AA"/>
                      <w:sz w:val="20"/>
                      <w:szCs w:val="20"/>
                      <w:lang w:val="en-US"/>
                    </w:rPr>
                  </w:pPr>
                  <w:r w:rsidRPr="00D308C7">
                    <w:rPr>
                      <w:bCs/>
                      <w:color w:val="1226AA"/>
                      <w:sz w:val="20"/>
                      <w:szCs w:val="20"/>
                      <w:lang w:val="en-US"/>
                    </w:rPr>
                    <w:t>Gabor Pinter (Bank of International Settlements)</w:t>
                  </w:r>
                </w:p>
                <w:p w14:paraId="35688C29" w14:textId="001891B0" w:rsidR="00D308C7" w:rsidRPr="00D308C7" w:rsidRDefault="00D308C7" w:rsidP="00CD57C0">
                  <w:pPr>
                    <w:rPr>
                      <w:b/>
                      <w:color w:val="1226AA"/>
                      <w:sz w:val="20"/>
                      <w:szCs w:val="20"/>
                      <w:lang w:val="en-US"/>
                    </w:rPr>
                  </w:pPr>
                  <w:r w:rsidRPr="00D308C7">
                    <w:rPr>
                      <w:b/>
                      <w:color w:val="1226AA"/>
                      <w:sz w:val="20"/>
                      <w:szCs w:val="20"/>
                      <w:lang w:val="en-US"/>
                    </w:rPr>
                    <w:t>08 May 2025: TBA</w:t>
                  </w:r>
                </w:p>
                <w:p w14:paraId="29CDDBD0" w14:textId="6F9EDF18" w:rsidR="00D308C7" w:rsidRPr="00D308C7" w:rsidRDefault="00D308C7" w:rsidP="00CD57C0">
                  <w:pPr>
                    <w:rPr>
                      <w:bCs/>
                      <w:color w:val="1226AA"/>
                      <w:sz w:val="20"/>
                      <w:szCs w:val="20"/>
                      <w:lang w:val="en-US"/>
                    </w:rPr>
                  </w:pPr>
                  <w:r w:rsidRPr="00D308C7">
                    <w:rPr>
                      <w:bCs/>
                      <w:color w:val="1226AA"/>
                      <w:sz w:val="20"/>
                      <w:szCs w:val="20"/>
                      <w:lang w:val="en-US"/>
                    </w:rPr>
                    <w:lastRenderedPageBreak/>
                    <w:t>Jonas Arias (Federal Reserve Bank of Philadelphia)</w:t>
                  </w:r>
                </w:p>
                <w:p w14:paraId="328FA7DE" w14:textId="43A8C114" w:rsidR="00D308C7" w:rsidRPr="00D308C7" w:rsidRDefault="00D308C7" w:rsidP="00CD57C0">
                  <w:pPr>
                    <w:rPr>
                      <w:b/>
                      <w:color w:val="1226AA"/>
                      <w:sz w:val="20"/>
                      <w:szCs w:val="20"/>
                      <w:lang w:val="en-US"/>
                    </w:rPr>
                  </w:pPr>
                  <w:r w:rsidRPr="00D308C7">
                    <w:rPr>
                      <w:b/>
                      <w:color w:val="1226AA"/>
                      <w:sz w:val="20"/>
                      <w:szCs w:val="20"/>
                      <w:lang w:val="en-US"/>
                    </w:rPr>
                    <w:t>20 May 2025: TBA</w:t>
                  </w:r>
                </w:p>
                <w:p w14:paraId="7D36704C" w14:textId="2D2EF4CC" w:rsidR="00D308C7" w:rsidRDefault="00D308C7" w:rsidP="00CD57C0">
                  <w:pPr>
                    <w:rPr>
                      <w:bCs/>
                      <w:color w:val="1226AA"/>
                      <w:sz w:val="20"/>
                      <w:szCs w:val="20"/>
                      <w:lang w:val="en-US"/>
                    </w:rPr>
                  </w:pPr>
                  <w:r w:rsidRPr="00D308C7">
                    <w:rPr>
                      <w:bCs/>
                      <w:color w:val="1226AA"/>
                      <w:sz w:val="20"/>
                      <w:szCs w:val="20"/>
                      <w:lang w:val="en-US"/>
                    </w:rPr>
                    <w:t>Stephanie Schmitt-Grohe (Columbia University)</w:t>
                  </w:r>
                </w:p>
                <w:p w14:paraId="1959ABCB" w14:textId="2120D8DC" w:rsidR="00D308C7" w:rsidRDefault="00D308C7" w:rsidP="00CD57C0">
                  <w:pPr>
                    <w:rPr>
                      <w:bCs/>
                      <w:color w:val="1226AA"/>
                      <w:sz w:val="20"/>
                      <w:szCs w:val="20"/>
                      <w:lang w:val="en-US"/>
                    </w:rPr>
                  </w:pPr>
                  <w:r w:rsidRPr="00D308C7">
                    <w:rPr>
                      <w:b/>
                      <w:color w:val="1226AA"/>
                      <w:sz w:val="20"/>
                      <w:szCs w:val="20"/>
                      <w:lang w:val="en-US"/>
                    </w:rPr>
                    <w:t>22 May 2025: TBA</w:t>
                  </w:r>
                  <w:r>
                    <w:rPr>
                      <w:bCs/>
                      <w:color w:val="1226AA"/>
                      <w:sz w:val="20"/>
                      <w:szCs w:val="20"/>
                      <w:lang w:val="en-US"/>
                    </w:rPr>
                    <w:br/>
                    <w:t>Gregor Boehl (Bonn University)</w:t>
                  </w:r>
                </w:p>
                <w:p w14:paraId="3657AAE3" w14:textId="77777777" w:rsidR="005A582B" w:rsidRDefault="00D308C7" w:rsidP="00CD57C0">
                  <w:pPr>
                    <w:rPr>
                      <w:bCs/>
                      <w:color w:val="1226AA"/>
                      <w:sz w:val="20"/>
                      <w:szCs w:val="20"/>
                      <w:lang w:val="en-US"/>
                    </w:rPr>
                  </w:pPr>
                  <w:r w:rsidRPr="00D308C7">
                    <w:rPr>
                      <w:b/>
                      <w:color w:val="1226AA"/>
                      <w:sz w:val="20"/>
                      <w:szCs w:val="20"/>
                      <w:lang w:val="en-US"/>
                    </w:rPr>
                    <w:t>05 Jun 2025: TBA</w:t>
                  </w:r>
                  <w:r w:rsidRPr="00D308C7">
                    <w:rPr>
                      <w:bCs/>
                      <w:color w:val="1226AA"/>
                      <w:sz w:val="20"/>
                      <w:szCs w:val="20"/>
                      <w:lang w:val="en-US"/>
                    </w:rPr>
                    <w:br/>
                    <w:t>Natalya Martynova (Deutsche Bundesbank)</w:t>
                  </w:r>
                  <w:r w:rsidRPr="00D308C7">
                    <w:rPr>
                      <w:bCs/>
                      <w:color w:val="1226AA"/>
                      <w:sz w:val="20"/>
                      <w:szCs w:val="20"/>
                      <w:lang w:val="en-US"/>
                    </w:rPr>
                    <w:br/>
                  </w:r>
                  <w:r w:rsidRPr="00D308C7">
                    <w:rPr>
                      <w:b/>
                      <w:color w:val="1226AA"/>
                      <w:sz w:val="20"/>
                      <w:szCs w:val="20"/>
                      <w:lang w:val="en-US"/>
                    </w:rPr>
                    <w:t>03 Jul 2025: TBA</w:t>
                  </w:r>
                  <w:r w:rsidRPr="00D308C7">
                    <w:rPr>
                      <w:bCs/>
                      <w:color w:val="1226AA"/>
                      <w:sz w:val="20"/>
                      <w:szCs w:val="20"/>
                      <w:lang w:val="en-US"/>
                    </w:rPr>
                    <w:br/>
                    <w:t>Federica Romei (University of</w:t>
                  </w:r>
                  <w:r>
                    <w:rPr>
                      <w:bCs/>
                      <w:color w:val="1226AA"/>
                      <w:sz w:val="20"/>
                      <w:szCs w:val="20"/>
                      <w:lang w:val="en-US"/>
                    </w:rPr>
                    <w:t xml:space="preserve"> Oxford)</w:t>
                  </w:r>
                </w:p>
                <w:p w14:paraId="26E2DF1C" w14:textId="77777777" w:rsidR="005A582B" w:rsidRDefault="005A582B" w:rsidP="00CD57C0">
                  <w:pPr>
                    <w:rPr>
                      <w:bCs/>
                      <w:color w:val="1226AA"/>
                      <w:sz w:val="20"/>
                      <w:szCs w:val="20"/>
                      <w:lang w:val="en-US"/>
                    </w:rPr>
                  </w:pPr>
                </w:p>
                <w:p w14:paraId="6895EEB7" w14:textId="485D12D3" w:rsidR="005A582B" w:rsidRPr="005A582B" w:rsidRDefault="005A582B" w:rsidP="005A582B">
                  <w:pPr>
                    <w:jc w:val="both"/>
                    <w:rPr>
                      <w:bCs/>
                      <w:color w:val="1226AA"/>
                      <w:sz w:val="20"/>
                      <w:szCs w:val="20"/>
                      <w:lang w:val="en-US"/>
                    </w:rPr>
                  </w:pPr>
                  <w:hyperlink w:anchor="R1top" w:history="1">
                    <w:r w:rsidRPr="005A582B">
                      <w:rPr>
                        <w:rStyle w:val="Hyperlink"/>
                        <w:bCs/>
                        <w:sz w:val="20"/>
                        <w:szCs w:val="20"/>
                        <w:lang w:val="en-US"/>
                      </w:rPr>
                      <w:t>Go to the Top.</w:t>
                    </w:r>
                  </w:hyperlink>
                </w:p>
                <w:p w14:paraId="1723F6E7" w14:textId="77777777" w:rsidR="00654983" w:rsidRPr="00D308C7" w:rsidRDefault="00654983" w:rsidP="00806366">
                  <w:pPr>
                    <w:rPr>
                      <w:color w:val="1226AA"/>
                      <w:sz w:val="20"/>
                      <w:szCs w:val="20"/>
                      <w:lang w:val="en-US"/>
                    </w:rPr>
                  </w:pPr>
                </w:p>
                <w:tbl>
                  <w:tblPr>
                    <w:tblW w:w="5000" w:type="pct"/>
                    <w:shd w:val="clear" w:color="auto" w:fill="1226AA"/>
                    <w:tblCellMar>
                      <w:left w:w="0" w:type="dxa"/>
                      <w:right w:w="0" w:type="dxa"/>
                    </w:tblCellMar>
                    <w:tblLook w:val="04A0" w:firstRow="1" w:lastRow="0" w:firstColumn="1" w:lastColumn="0" w:noHBand="0" w:noVBand="1"/>
                  </w:tblPr>
                  <w:tblGrid>
                    <w:gridCol w:w="7722"/>
                  </w:tblGrid>
                  <w:tr w:rsidR="00654983" w:rsidRPr="00D308C7" w14:paraId="05C2493C" w14:textId="77777777" w:rsidTr="00A31A2F">
                    <w:trPr>
                      <w:trHeight w:val="340"/>
                    </w:trPr>
                    <w:tc>
                      <w:tcPr>
                        <w:tcW w:w="5000" w:type="pct"/>
                        <w:shd w:val="clear" w:color="auto" w:fill="1226AA"/>
                        <w:tcMar>
                          <w:top w:w="57" w:type="dxa"/>
                          <w:left w:w="170" w:type="dxa"/>
                          <w:bottom w:w="57" w:type="dxa"/>
                        </w:tcMar>
                      </w:tcPr>
                      <w:p w14:paraId="6979EE92" w14:textId="77777777" w:rsidR="00654983" w:rsidRPr="00D308C7" w:rsidRDefault="00654983" w:rsidP="00654983">
                        <w:pPr>
                          <w:spacing w:line="240" w:lineRule="auto"/>
                          <w:rPr>
                            <w:color w:val="FFFFFF" w:themeColor="background1"/>
                            <w:sz w:val="20"/>
                            <w:szCs w:val="20"/>
                            <w:lang w:val="en-US"/>
                          </w:rPr>
                        </w:pPr>
                        <w:r w:rsidRPr="00D308C7">
                          <w:rPr>
                            <w:color w:val="FEFEFE"/>
                            <w:sz w:val="20"/>
                            <w:szCs w:val="20"/>
                            <w:lang w:val="en-US"/>
                          </w:rPr>
                          <w:t>Other news</w:t>
                        </w:r>
                      </w:p>
                    </w:tc>
                  </w:tr>
                </w:tbl>
                <w:p w14:paraId="6E170FB1" w14:textId="77777777" w:rsidR="00063166" w:rsidRPr="00D308C7" w:rsidRDefault="00063166" w:rsidP="001D4AD3">
                  <w:pPr>
                    <w:rPr>
                      <w:color w:val="1226AA"/>
                      <w:sz w:val="20"/>
                      <w:szCs w:val="20"/>
                      <w:lang w:val="en-US"/>
                    </w:rPr>
                  </w:pPr>
                </w:p>
                <w:p w14:paraId="4FC4D557" w14:textId="77777777" w:rsidR="00EE5CB4" w:rsidRPr="00EE5CB4" w:rsidRDefault="00EE5CB4" w:rsidP="00071E61">
                  <w:pPr>
                    <w:jc w:val="both"/>
                    <w:rPr>
                      <w:bCs/>
                      <w:sz w:val="20"/>
                      <w:szCs w:val="20"/>
                      <w:lang w:val="en-US"/>
                    </w:rPr>
                  </w:pPr>
                  <w:r w:rsidRPr="00EE5CB4">
                    <w:rPr>
                      <w:color w:val="1226AA"/>
                      <w:sz w:val="20"/>
                      <w:szCs w:val="20"/>
                      <w:lang w:val="en-US"/>
                    </w:rPr>
                    <w:t xml:space="preserve">Guido Ascari gave a keynote lecture at the </w:t>
                  </w:r>
                  <w:hyperlink r:id="rId48" w:history="1">
                    <w:r w:rsidRPr="00EE5CB4">
                      <w:rPr>
                        <w:rStyle w:val="Hyperlink"/>
                        <w:bCs/>
                        <w:sz w:val="20"/>
                        <w:szCs w:val="20"/>
                        <w:lang w:val="en-US"/>
                      </w:rPr>
                      <w:t>2024 Joint Workshop in Macroeconomics</w:t>
                    </w:r>
                  </w:hyperlink>
                  <w:r w:rsidRPr="00EE5CB4">
                    <w:rPr>
                      <w:bCs/>
                      <w:sz w:val="20"/>
                      <w:szCs w:val="20"/>
                      <w:lang w:val="en-US"/>
                    </w:rPr>
                    <w:t xml:space="preserve">, </w:t>
                  </w:r>
                  <w:r w:rsidRPr="00EE5CB4">
                    <w:rPr>
                      <w:bCs/>
                      <w:color w:val="1226AA"/>
                      <w:sz w:val="20"/>
                      <w:szCs w:val="20"/>
                      <w:lang w:val="en-US"/>
                    </w:rPr>
                    <w:t xml:space="preserve">which took place in Adelaide and had as other keynote speakers Bruce Preston (UNSW Sydney) and Sarah Zubairy (Texas A&amp;M). Guido was also a keynote speaker in the </w:t>
                  </w:r>
                  <w:hyperlink r:id="rId49" w:history="1">
                    <w:r w:rsidRPr="00EE5CB4">
                      <w:rPr>
                        <w:rStyle w:val="Hyperlink"/>
                        <w:bCs/>
                        <w:sz w:val="20"/>
                        <w:szCs w:val="20"/>
                        <w:lang w:val="en-US"/>
                      </w:rPr>
                      <w:t>2024 Workshop of the Australasian Macroeconomic Society</w:t>
                    </w:r>
                  </w:hyperlink>
                  <w:r w:rsidRPr="00EE5CB4">
                    <w:rPr>
                      <w:bCs/>
                      <w:sz w:val="20"/>
                      <w:szCs w:val="20"/>
                      <w:lang w:val="en-US"/>
                    </w:rPr>
                    <w:t xml:space="preserve"> </w:t>
                  </w:r>
                  <w:r w:rsidRPr="00EE5CB4">
                    <w:rPr>
                      <w:bCs/>
                      <w:color w:val="1226AA"/>
                      <w:sz w:val="20"/>
                      <w:szCs w:val="20"/>
                      <w:lang w:val="en-US"/>
                    </w:rPr>
                    <w:t>(WAMS) in Perth, where the other keynotes were José-Víctor Ríos-Rull (University of Pennsylvania, UCL) and Richard Rogerson (Princeton University).</w:t>
                  </w:r>
                </w:p>
                <w:p w14:paraId="2B270679" w14:textId="38E9D654" w:rsidR="005A582B" w:rsidRPr="005A582B" w:rsidRDefault="005A582B" w:rsidP="005A582B">
                  <w:pPr>
                    <w:jc w:val="both"/>
                    <w:rPr>
                      <w:color w:val="1226AA"/>
                      <w:sz w:val="20"/>
                      <w:szCs w:val="20"/>
                      <w:lang w:val="en-US"/>
                    </w:rPr>
                  </w:pPr>
                  <w:hyperlink w:anchor="R1top" w:history="1">
                    <w:r w:rsidRPr="005A582B">
                      <w:rPr>
                        <w:rStyle w:val="Hyperlink"/>
                        <w:sz w:val="20"/>
                        <w:szCs w:val="20"/>
                        <w:lang w:val="en-US"/>
                      </w:rPr>
                      <w:t>Go to the Top.</w:t>
                    </w:r>
                  </w:hyperlink>
                </w:p>
                <w:p w14:paraId="3D555FCE" w14:textId="77777777" w:rsidR="00B04D9E" w:rsidRPr="001118E0" w:rsidRDefault="00B04D9E" w:rsidP="001D4AD3">
                  <w:pPr>
                    <w:rPr>
                      <w:color w:val="1226AA"/>
                      <w:sz w:val="20"/>
                      <w:szCs w:val="20"/>
                      <w:lang w:val="en-US"/>
                    </w:rPr>
                  </w:pPr>
                </w:p>
                <w:p w14:paraId="52AEFF9D" w14:textId="16556E5B" w:rsidR="00F75762" w:rsidRPr="00B6267B" w:rsidRDefault="00F75762" w:rsidP="001D4AD3">
                  <w:pPr>
                    <w:spacing w:line="227" w:lineRule="atLeast"/>
                    <w:rPr>
                      <w:rFonts w:eastAsia="Calibri" w:cs="Times New Roman"/>
                      <w:sz w:val="20"/>
                      <w:szCs w:val="20"/>
                      <w:lang w:val="en-US"/>
                    </w:rPr>
                  </w:pPr>
                </w:p>
                <w:tbl>
                  <w:tblPr>
                    <w:tblW w:w="5000" w:type="pct"/>
                    <w:shd w:val="clear" w:color="auto" w:fill="1226AA"/>
                    <w:tblCellMar>
                      <w:left w:w="0" w:type="dxa"/>
                      <w:right w:w="0" w:type="dxa"/>
                    </w:tblCellMar>
                    <w:tblLook w:val="04A0" w:firstRow="1" w:lastRow="0" w:firstColumn="1" w:lastColumn="0" w:noHBand="0" w:noVBand="1"/>
                  </w:tblPr>
                  <w:tblGrid>
                    <w:gridCol w:w="7722"/>
                  </w:tblGrid>
                  <w:tr w:rsidR="00F75762" w:rsidRPr="00EE5CB4" w14:paraId="4036CD0B" w14:textId="77777777" w:rsidTr="001D4AD3">
                    <w:trPr>
                      <w:trHeight w:val="340"/>
                    </w:trPr>
                    <w:tc>
                      <w:tcPr>
                        <w:tcW w:w="5000" w:type="pct"/>
                        <w:shd w:val="clear" w:color="auto" w:fill="1226AA"/>
                        <w:tcMar>
                          <w:top w:w="57" w:type="dxa"/>
                          <w:left w:w="170" w:type="dxa"/>
                          <w:bottom w:w="57" w:type="dxa"/>
                        </w:tcMar>
                      </w:tcPr>
                      <w:p w14:paraId="1E911DF4" w14:textId="77777777" w:rsidR="00F75762" w:rsidRPr="00B6267B" w:rsidRDefault="00F75762" w:rsidP="001D4AD3">
                        <w:pPr>
                          <w:spacing w:line="240" w:lineRule="auto"/>
                          <w:rPr>
                            <w:color w:val="FFFFFF" w:themeColor="background1"/>
                            <w:sz w:val="20"/>
                            <w:szCs w:val="20"/>
                            <w:lang w:val="en-US"/>
                          </w:rPr>
                        </w:pPr>
                        <w:r w:rsidRPr="00B6267B">
                          <w:rPr>
                            <w:color w:val="FEFEFE"/>
                            <w:sz w:val="20"/>
                            <w:szCs w:val="20"/>
                            <w:lang w:val="en-US"/>
                          </w:rPr>
                          <w:t>Research highlights, details</w:t>
                        </w:r>
                      </w:p>
                    </w:tc>
                  </w:tr>
                </w:tbl>
                <w:p w14:paraId="1164E9B4" w14:textId="33749C32" w:rsidR="00F75762" w:rsidRPr="00B6267B" w:rsidRDefault="00F75762" w:rsidP="001D4AD3">
                  <w:pPr>
                    <w:rPr>
                      <w:color w:val="1226AA"/>
                      <w:sz w:val="20"/>
                      <w:szCs w:val="20"/>
                      <w:lang w:val="en-US"/>
                    </w:rPr>
                  </w:pPr>
                  <w:bookmarkStart w:id="3" w:name="R1"/>
                  <w:r w:rsidRPr="00B6267B">
                    <w:rPr>
                      <w:b/>
                      <w:color w:val="1226AA"/>
                      <w:sz w:val="20"/>
                      <w:szCs w:val="20"/>
                      <w:lang w:val="en-US"/>
                    </w:rPr>
                    <w:t>1.</w:t>
                  </w:r>
                  <w:r w:rsidRPr="00B6267B">
                    <w:rPr>
                      <w:sz w:val="20"/>
                      <w:szCs w:val="20"/>
                      <w:lang w:val="en-US"/>
                    </w:rPr>
                    <w:t xml:space="preserve"> </w:t>
                  </w:r>
                  <w:bookmarkStart w:id="4" w:name="StructuralInvestigation"/>
                  <w:r w:rsidR="00997C18" w:rsidRPr="00A23AAE">
                    <w:rPr>
                      <w:b/>
                      <w:bCs/>
                      <w:color w:val="1226AA"/>
                      <w:sz w:val="20"/>
                      <w:szCs w:val="20"/>
                      <w:lang w:val="en-US"/>
                    </w:rPr>
                    <w:t>A Structural Investigation of Quantitative Easing</w:t>
                  </w:r>
                  <w:bookmarkEnd w:id="4"/>
                </w:p>
                <w:bookmarkEnd w:id="3"/>
                <w:p w14:paraId="1ECDF2E4" w14:textId="77777777" w:rsidR="00071E61" w:rsidRDefault="00997C18" w:rsidP="00997C18">
                  <w:pPr>
                    <w:jc w:val="both"/>
                    <w:rPr>
                      <w:color w:val="1226AA"/>
                      <w:sz w:val="20"/>
                      <w:szCs w:val="20"/>
                      <w:lang w:val="en-US"/>
                    </w:rPr>
                  </w:pPr>
                  <w:r w:rsidRPr="00997C18">
                    <w:rPr>
                      <w:color w:val="1226AA"/>
                      <w:sz w:val="20"/>
                      <w:szCs w:val="20"/>
                      <w:lang w:val="en-US"/>
                    </w:rPr>
                    <w:t xml:space="preserve">Using nonlinear Bayesian methods that fully account for the binding zero lower bound (ZLB), the authors estimate a large-scale macro-finance DSGE model on U.S. data. Counterfactual analysis suggests that by easing financing conditions, quantitative easing facilitated a net increase in aggregate investment. The resulting expansion of firms’ production capacities lowered their marginal costs. These disinflationary supply side effects dominated over the inflationary effects induced by the stimulus to aggregate demand. At the ZLB, the concomitant rise in real interest rates, in turn, induced a net fall in </w:t>
                  </w:r>
                </w:p>
                <w:p w14:paraId="7E77738E" w14:textId="5DEBE12E" w:rsidR="004E7898" w:rsidRPr="00B6267B" w:rsidRDefault="00997C18" w:rsidP="00071E61">
                  <w:pPr>
                    <w:rPr>
                      <w:color w:val="1226AA"/>
                      <w:sz w:val="20"/>
                      <w:szCs w:val="20"/>
                      <w:lang w:val="en-US"/>
                    </w:rPr>
                  </w:pPr>
                  <w:r w:rsidRPr="00997C18">
                    <w:rPr>
                      <w:color w:val="1226AA"/>
                      <w:sz w:val="20"/>
                      <w:szCs w:val="20"/>
                      <w:lang w:val="en-US"/>
                    </w:rPr>
                    <w:t>aggregate consumption.</w:t>
                  </w:r>
                  <w:r>
                    <w:rPr>
                      <w:color w:val="1226AA"/>
                      <w:sz w:val="20"/>
                      <w:szCs w:val="20"/>
                      <w:lang w:val="en-US"/>
                    </w:rPr>
                    <w:t xml:space="preserve"> </w:t>
                  </w:r>
                  <w:r>
                    <w:rPr>
                      <w:color w:val="1226AA"/>
                      <w:sz w:val="20"/>
                      <w:szCs w:val="20"/>
                      <w:lang w:val="en-US"/>
                    </w:rPr>
                    <w:br/>
                  </w:r>
                </w:p>
                <w:p w14:paraId="47990F2A" w14:textId="55CC7B40" w:rsidR="004E7898" w:rsidRDefault="00253C36" w:rsidP="004E7898">
                  <w:pPr>
                    <w:jc w:val="both"/>
                    <w:rPr>
                      <w:b/>
                      <w:bCs/>
                      <w:color w:val="1226AA"/>
                      <w:sz w:val="20"/>
                      <w:szCs w:val="20"/>
                      <w:lang w:val="en-US"/>
                    </w:rPr>
                  </w:pPr>
                  <w:r>
                    <w:rPr>
                      <w:b/>
                      <w:bCs/>
                      <w:color w:val="1226AA"/>
                      <w:sz w:val="20"/>
                      <w:szCs w:val="20"/>
                      <w:lang w:val="en-US"/>
                    </w:rPr>
                    <w:lastRenderedPageBreak/>
                    <w:br/>
                  </w:r>
                  <w:r>
                    <w:rPr>
                      <w:b/>
                      <w:bCs/>
                      <w:color w:val="1226AA"/>
                      <w:sz w:val="20"/>
                      <w:szCs w:val="20"/>
                      <w:lang w:val="en-US"/>
                    </w:rPr>
                    <w:br/>
                  </w:r>
                  <w:r w:rsidR="004E7898" w:rsidRPr="001E18F8">
                    <w:rPr>
                      <w:b/>
                      <w:bCs/>
                      <w:color w:val="1226AA"/>
                      <w:sz w:val="20"/>
                      <w:szCs w:val="20"/>
                      <w:lang w:val="en-US"/>
                    </w:rPr>
                    <w:t>Read more?</w:t>
                  </w:r>
                </w:p>
                <w:p w14:paraId="3DF6FD4A" w14:textId="02C7878A" w:rsidR="00984648" w:rsidRDefault="00997C18" w:rsidP="004E7898">
                  <w:pPr>
                    <w:jc w:val="both"/>
                    <w:rPr>
                      <w:color w:val="1226AA"/>
                      <w:lang w:val="en-US"/>
                    </w:rPr>
                  </w:pPr>
                  <w:r w:rsidRPr="00997C18">
                    <w:rPr>
                      <w:b/>
                      <w:bCs/>
                      <w:color w:val="1226AA"/>
                      <w:sz w:val="20"/>
                      <w:szCs w:val="20"/>
                      <w:lang w:val="en-US"/>
                    </w:rPr>
                    <w:t xml:space="preserve">See The Review of Economics and Statistics, </w:t>
                  </w:r>
                  <w:hyperlink r:id="rId50" w:history="1">
                    <w:r w:rsidRPr="00253C36">
                      <w:rPr>
                        <w:rStyle w:val="Hyperlink"/>
                        <w:sz w:val="20"/>
                        <w:szCs w:val="20"/>
                        <w:lang w:val="en-US"/>
                      </w:rPr>
                      <w:t>A Structural Investigation of Quantitative Easing</w:t>
                    </w:r>
                  </w:hyperlink>
                  <w:r w:rsidRPr="00253C36">
                    <w:rPr>
                      <w:color w:val="1226AA"/>
                      <w:sz w:val="20"/>
                      <w:szCs w:val="20"/>
                      <w:lang w:val="en-US"/>
                    </w:rPr>
                    <w:t>, by Gregor Boehl, Gavin Goy and Felix Strobel.</w:t>
                  </w:r>
                </w:p>
                <w:p w14:paraId="4EB79EDF" w14:textId="0B3B57AA" w:rsidR="00F75762" w:rsidRPr="005A582B" w:rsidRDefault="005A582B" w:rsidP="004E7898">
                  <w:pPr>
                    <w:jc w:val="both"/>
                    <w:rPr>
                      <w:rStyle w:val="Hyperlink"/>
                      <w:lang w:val="en-US"/>
                    </w:rPr>
                  </w:pPr>
                  <w:r>
                    <w:rPr>
                      <w:sz w:val="20"/>
                      <w:szCs w:val="20"/>
                      <w:lang w:val="en-US"/>
                    </w:rPr>
                    <w:fldChar w:fldCharType="begin"/>
                  </w:r>
                  <w:r>
                    <w:rPr>
                      <w:sz w:val="20"/>
                      <w:szCs w:val="20"/>
                      <w:lang w:val="en-US"/>
                    </w:rPr>
                    <w:instrText>HYPERLINK  \l "R1top"</w:instrText>
                  </w:r>
                  <w:r>
                    <w:rPr>
                      <w:sz w:val="20"/>
                      <w:szCs w:val="20"/>
                      <w:lang w:val="en-US"/>
                    </w:rPr>
                  </w:r>
                  <w:r>
                    <w:rPr>
                      <w:sz w:val="20"/>
                      <w:szCs w:val="20"/>
                      <w:lang w:val="en-US"/>
                    </w:rPr>
                    <w:fldChar w:fldCharType="separate"/>
                  </w:r>
                  <w:r w:rsidR="002A7177" w:rsidRPr="005A582B">
                    <w:rPr>
                      <w:rStyle w:val="Hyperlink"/>
                      <w:sz w:val="20"/>
                      <w:szCs w:val="20"/>
                      <w:lang w:val="en-US"/>
                    </w:rPr>
                    <w:t>Go to the Top.</w:t>
                  </w:r>
                </w:p>
                <w:p w14:paraId="7556B005" w14:textId="7660100C" w:rsidR="00F75762" w:rsidRPr="00B6267B" w:rsidRDefault="005A582B" w:rsidP="001D4AD3">
                  <w:pPr>
                    <w:rPr>
                      <w:color w:val="1226AA"/>
                      <w:sz w:val="20"/>
                      <w:szCs w:val="20"/>
                      <w:lang w:val="en-US"/>
                    </w:rPr>
                  </w:pPr>
                  <w:r>
                    <w:rPr>
                      <w:sz w:val="20"/>
                      <w:szCs w:val="20"/>
                      <w:lang w:val="en-US"/>
                    </w:rPr>
                    <w:fldChar w:fldCharType="end"/>
                  </w:r>
                </w:p>
                <w:p w14:paraId="19AB95F2" w14:textId="4A4A09DE" w:rsidR="00F75762" w:rsidRPr="00B6267B" w:rsidRDefault="00F75762" w:rsidP="001D4AD3">
                  <w:pPr>
                    <w:jc w:val="both"/>
                    <w:rPr>
                      <w:b/>
                      <w:color w:val="1226AA"/>
                      <w:sz w:val="20"/>
                      <w:szCs w:val="20"/>
                      <w:lang w:val="en-US"/>
                    </w:rPr>
                  </w:pPr>
                  <w:bookmarkStart w:id="5" w:name="R2"/>
                  <w:r w:rsidRPr="00B6267B">
                    <w:rPr>
                      <w:b/>
                      <w:color w:val="1226AA"/>
                      <w:sz w:val="20"/>
                      <w:szCs w:val="20"/>
                      <w:lang w:val="en-US"/>
                    </w:rPr>
                    <w:t xml:space="preserve">2. </w:t>
                  </w:r>
                  <w:bookmarkStart w:id="6" w:name="FiscalPolicy"/>
                  <w:r w:rsidR="00997C18" w:rsidRPr="00997C18">
                    <w:rPr>
                      <w:b/>
                      <w:color w:val="1226AA"/>
                      <w:sz w:val="20"/>
                      <w:szCs w:val="20"/>
                      <w:lang w:val="en-US"/>
                    </w:rPr>
                    <w:t>Fiscal Policy and Inflation in the Euro Area</w:t>
                  </w:r>
                  <w:bookmarkEnd w:id="6"/>
                </w:p>
                <w:bookmarkEnd w:id="5"/>
                <w:p w14:paraId="596BE428" w14:textId="2CDFF1F3" w:rsidR="001E18F8" w:rsidRDefault="00071E61" w:rsidP="00FC6FF6">
                  <w:pPr>
                    <w:jc w:val="both"/>
                    <w:rPr>
                      <w:b/>
                      <w:color w:val="1226AA"/>
                      <w:sz w:val="20"/>
                      <w:szCs w:val="20"/>
                      <w:lang w:val="en-US"/>
                    </w:rPr>
                  </w:pPr>
                  <w:r w:rsidRPr="00071E61">
                    <w:rPr>
                      <w:color w:val="1226AA"/>
                      <w:sz w:val="20"/>
                      <w:szCs w:val="20"/>
                      <w:lang w:val="en-US"/>
                    </w:rPr>
                    <w:t>The findings of their work can be summarized as follows. First, while both positive demand and adverse supply shocks contributed to the inflation surge, demand shocks were relatively more important. Second, fiscal stimulus played a substantial and progressively increasing role, particularly in influencing domestic-based measures of inflation. Finally, the relative impact of fiscal shocks on inflation dynamics varies across (selected) Euro Area countries.</w:t>
                  </w:r>
                  <w:r w:rsidR="00997C18">
                    <w:rPr>
                      <w:color w:val="1226AA"/>
                      <w:sz w:val="20"/>
                      <w:szCs w:val="20"/>
                      <w:lang w:val="en-US"/>
                    </w:rPr>
                    <w:br/>
                  </w:r>
                </w:p>
                <w:p w14:paraId="3AB3F707" w14:textId="5E576288" w:rsidR="00F75762" w:rsidRPr="00B6267B" w:rsidRDefault="00F75762" w:rsidP="00B6267B">
                  <w:pPr>
                    <w:jc w:val="both"/>
                    <w:rPr>
                      <w:color w:val="1226AA"/>
                      <w:sz w:val="20"/>
                      <w:szCs w:val="20"/>
                      <w:lang w:val="en-US"/>
                    </w:rPr>
                  </w:pPr>
                  <w:r w:rsidRPr="00B6267B">
                    <w:rPr>
                      <w:b/>
                      <w:color w:val="1226AA"/>
                      <w:sz w:val="20"/>
                      <w:szCs w:val="20"/>
                      <w:lang w:val="en-US"/>
                    </w:rPr>
                    <w:t>Read more?</w:t>
                  </w:r>
                </w:p>
                <w:p w14:paraId="3A957990" w14:textId="5E453E61" w:rsidR="00F75762" w:rsidRPr="005A582B" w:rsidRDefault="00071E61" w:rsidP="001D4AD3">
                  <w:pPr>
                    <w:rPr>
                      <w:rStyle w:val="Hyperlink"/>
                      <w:sz w:val="20"/>
                      <w:szCs w:val="20"/>
                      <w:lang w:val="en-US"/>
                    </w:rPr>
                  </w:pPr>
                  <w:r w:rsidRPr="00071E61">
                    <w:rPr>
                      <w:color w:val="1226AA"/>
                      <w:sz w:val="20"/>
                      <w:szCs w:val="20"/>
                      <w:lang w:val="en-US"/>
                    </w:rPr>
                    <w:t xml:space="preserve">See the DNB working paper no 820 </w:t>
                  </w:r>
                  <w:hyperlink r:id="rId51" w:history="1">
                    <w:r w:rsidRPr="00071E61">
                      <w:rPr>
                        <w:rStyle w:val="Hyperlink"/>
                        <w:sz w:val="20"/>
                        <w:szCs w:val="20"/>
                        <w:lang w:val="en-US"/>
                      </w:rPr>
                      <w:t>Fiscal Policy and Inflation in the Euro Area</w:t>
                    </w:r>
                  </w:hyperlink>
                  <w:r w:rsidRPr="00071E61">
                    <w:rPr>
                      <w:color w:val="1226AA"/>
                      <w:sz w:val="20"/>
                      <w:szCs w:val="20"/>
                      <w:lang w:val="en-US"/>
                    </w:rPr>
                    <w:t>, by Guido Ascari, Dennis Bonam, Lorenzo Mori and Andra Smadu</w:t>
                  </w:r>
                  <w:r>
                    <w:rPr>
                      <w:color w:val="1226AA"/>
                      <w:sz w:val="20"/>
                      <w:szCs w:val="20"/>
                      <w:lang w:val="en-US"/>
                    </w:rPr>
                    <w:br/>
                  </w:r>
                  <w:r w:rsidR="005A582B">
                    <w:rPr>
                      <w:sz w:val="20"/>
                      <w:szCs w:val="20"/>
                      <w:lang w:val="en-US"/>
                    </w:rPr>
                    <w:fldChar w:fldCharType="begin"/>
                  </w:r>
                  <w:r w:rsidR="005A582B">
                    <w:rPr>
                      <w:sz w:val="20"/>
                      <w:szCs w:val="20"/>
                      <w:lang w:val="en-US"/>
                    </w:rPr>
                    <w:instrText>HYPERLINK  \l "R1top"</w:instrText>
                  </w:r>
                  <w:r w:rsidR="005A582B">
                    <w:rPr>
                      <w:sz w:val="20"/>
                      <w:szCs w:val="20"/>
                      <w:lang w:val="en-US"/>
                    </w:rPr>
                  </w:r>
                  <w:r w:rsidR="005A582B">
                    <w:rPr>
                      <w:sz w:val="20"/>
                      <w:szCs w:val="20"/>
                      <w:lang w:val="en-US"/>
                    </w:rPr>
                    <w:fldChar w:fldCharType="separate"/>
                  </w:r>
                  <w:r w:rsidR="00F75762" w:rsidRPr="005A582B">
                    <w:rPr>
                      <w:rStyle w:val="Hyperlink"/>
                      <w:sz w:val="20"/>
                      <w:szCs w:val="20"/>
                      <w:lang w:val="en-US"/>
                    </w:rPr>
                    <w:t>Go to the Top.</w:t>
                  </w:r>
                </w:p>
                <w:p w14:paraId="136555E4" w14:textId="68C61A15" w:rsidR="00F75762" w:rsidRPr="00B6267B" w:rsidRDefault="005A582B" w:rsidP="001D4AD3">
                  <w:pPr>
                    <w:rPr>
                      <w:color w:val="1226AA"/>
                      <w:sz w:val="20"/>
                      <w:szCs w:val="20"/>
                      <w:lang w:val="en-US"/>
                    </w:rPr>
                  </w:pPr>
                  <w:r>
                    <w:rPr>
                      <w:sz w:val="20"/>
                      <w:szCs w:val="20"/>
                      <w:lang w:val="en-US"/>
                    </w:rPr>
                    <w:fldChar w:fldCharType="end"/>
                  </w:r>
                </w:p>
                <w:p w14:paraId="319CD7BB" w14:textId="41FC76DD" w:rsidR="00F75762" w:rsidRPr="00B6267B" w:rsidRDefault="00F75762" w:rsidP="001D4AD3">
                  <w:pPr>
                    <w:rPr>
                      <w:b/>
                      <w:color w:val="1226AA"/>
                      <w:sz w:val="20"/>
                      <w:szCs w:val="20"/>
                      <w:lang w:val="en-US"/>
                    </w:rPr>
                  </w:pPr>
                  <w:bookmarkStart w:id="7" w:name="R3"/>
                  <w:r w:rsidRPr="00B6267B">
                    <w:rPr>
                      <w:b/>
                      <w:color w:val="1226AA"/>
                      <w:sz w:val="20"/>
                      <w:szCs w:val="20"/>
                      <w:lang w:val="en-US"/>
                    </w:rPr>
                    <w:t xml:space="preserve">3. </w:t>
                  </w:r>
                  <w:bookmarkStart w:id="8" w:name="ClimateBonds"/>
                  <w:r w:rsidR="00071E61" w:rsidRPr="00071E61">
                    <w:rPr>
                      <w:b/>
                      <w:color w:val="1226AA"/>
                      <w:sz w:val="20"/>
                      <w:szCs w:val="20"/>
                      <w:lang w:val="en-US"/>
                    </w:rPr>
                    <w:t>Climate-Linked Bonds</w:t>
                  </w:r>
                  <w:bookmarkEnd w:id="8"/>
                </w:p>
                <w:bookmarkEnd w:id="7"/>
                <w:p w14:paraId="01338EB0" w14:textId="77777777" w:rsidR="00071E61" w:rsidRDefault="00071E61" w:rsidP="003A51C5">
                  <w:pPr>
                    <w:jc w:val="both"/>
                    <w:rPr>
                      <w:color w:val="1226AA"/>
                      <w:sz w:val="20"/>
                      <w:szCs w:val="20"/>
                      <w:lang w:val="en-US"/>
                    </w:rPr>
                  </w:pPr>
                  <w:r w:rsidRPr="00071E61">
                    <w:rPr>
                      <w:color w:val="1226AA"/>
                      <w:sz w:val="20"/>
                      <w:szCs w:val="20"/>
                      <w:lang w:val="en-US"/>
                    </w:rPr>
                    <w:t>Climate-linked bonds, ideally issued by governments and international organizations, adjust their payouts based on measurable climate variables, such as temperature changes or greenhouse gas (GHG) concentrations. By directly linking financial returns to climate outcomes, these bonds provide a strong incentive for issuers to align their actions with climate mitigation goals. This paper evaluates the factors that enable climate risk-sharing. It highlights the fact that these bonds offer favorable financing terms to counterparties willing to take over climate risks. At the same time, the climate-linked bonds offer long-term hedging opportunity for counterparties exposed to climate</w:t>
                  </w:r>
                </w:p>
                <w:p w14:paraId="32CD358D" w14:textId="31F5B122" w:rsidR="00045B42" w:rsidRDefault="00071E61" w:rsidP="00071E61">
                  <w:pPr>
                    <w:rPr>
                      <w:color w:val="1226AA"/>
                      <w:sz w:val="20"/>
                      <w:szCs w:val="20"/>
                      <w:lang w:val="en-US"/>
                    </w:rPr>
                  </w:pPr>
                  <w:r w:rsidRPr="00071E61">
                    <w:rPr>
                      <w:color w:val="1226AA"/>
                      <w:sz w:val="20"/>
                      <w:szCs w:val="20"/>
                      <w:lang w:val="en-US"/>
                    </w:rPr>
                    <w:t>damages and seeking financial protection.</w:t>
                  </w:r>
                  <w:r>
                    <w:rPr>
                      <w:color w:val="1226AA"/>
                      <w:sz w:val="20"/>
                      <w:szCs w:val="20"/>
                      <w:lang w:val="en-US"/>
                    </w:rPr>
                    <w:br/>
                  </w:r>
                  <w:r>
                    <w:rPr>
                      <w:b/>
                      <w:bCs/>
                      <w:color w:val="1226AA"/>
                      <w:sz w:val="20"/>
                      <w:szCs w:val="20"/>
                      <w:lang w:val="en-US"/>
                    </w:rPr>
                    <w:br/>
                  </w:r>
                  <w:r w:rsidR="003A51C5" w:rsidRPr="00045B42">
                    <w:rPr>
                      <w:b/>
                      <w:bCs/>
                      <w:color w:val="1226AA"/>
                      <w:sz w:val="20"/>
                      <w:szCs w:val="20"/>
                      <w:lang w:val="en-US"/>
                    </w:rPr>
                    <w:t>Read more?</w:t>
                  </w:r>
                  <w:r w:rsidR="003A51C5" w:rsidRPr="00B6267B">
                    <w:rPr>
                      <w:color w:val="1226AA"/>
                      <w:sz w:val="20"/>
                      <w:szCs w:val="20"/>
                      <w:lang w:val="en-US"/>
                    </w:rPr>
                    <w:t xml:space="preserve"> </w:t>
                  </w:r>
                </w:p>
                <w:p w14:paraId="298BA892" w14:textId="4993DAEF" w:rsidR="003A51C5" w:rsidRPr="00B6267B" w:rsidRDefault="00071E61" w:rsidP="003A51C5">
                  <w:pPr>
                    <w:jc w:val="both"/>
                    <w:rPr>
                      <w:color w:val="1226AA"/>
                      <w:sz w:val="20"/>
                      <w:szCs w:val="20"/>
                      <w:lang w:val="en-US"/>
                    </w:rPr>
                  </w:pPr>
                  <w:r>
                    <w:rPr>
                      <w:color w:val="1226AA"/>
                      <w:sz w:val="20"/>
                      <w:szCs w:val="20"/>
                      <w:lang w:val="en-US"/>
                    </w:rPr>
                    <w:t xml:space="preserve">See the DNB working paper 817 </w:t>
                  </w:r>
                  <w:hyperlink r:id="rId52" w:history="1">
                    <w:r w:rsidRPr="00071E61">
                      <w:rPr>
                        <w:rStyle w:val="Hyperlink"/>
                        <w:sz w:val="20"/>
                        <w:szCs w:val="20"/>
                        <w:lang w:val="en-US"/>
                      </w:rPr>
                      <w:t>Climate-Linked Bonds</w:t>
                    </w:r>
                  </w:hyperlink>
                  <w:r>
                    <w:rPr>
                      <w:color w:val="1226AA"/>
                      <w:sz w:val="20"/>
                      <w:szCs w:val="20"/>
                      <w:lang w:val="en-US"/>
                    </w:rPr>
                    <w:t xml:space="preserve"> by Dirk Broeders, Daniel Dimitrov and Niek Verhoeven.</w:t>
                  </w:r>
                </w:p>
                <w:p w14:paraId="05CB25D1" w14:textId="74C7870A" w:rsidR="00F75762" w:rsidRPr="005A582B" w:rsidRDefault="005A582B" w:rsidP="003A51C5">
                  <w:pPr>
                    <w:jc w:val="both"/>
                    <w:rPr>
                      <w:rStyle w:val="Hyperlink"/>
                      <w:sz w:val="20"/>
                      <w:szCs w:val="20"/>
                      <w:lang w:val="en-US"/>
                    </w:rPr>
                  </w:pPr>
                  <w:r>
                    <w:rPr>
                      <w:sz w:val="20"/>
                      <w:szCs w:val="20"/>
                      <w:lang w:val="en-US"/>
                    </w:rPr>
                    <w:fldChar w:fldCharType="begin"/>
                  </w:r>
                  <w:r>
                    <w:rPr>
                      <w:sz w:val="20"/>
                      <w:szCs w:val="20"/>
                      <w:lang w:val="en-US"/>
                    </w:rPr>
                    <w:instrText>HYPERLINK  \l "R1top"</w:instrText>
                  </w:r>
                  <w:r>
                    <w:rPr>
                      <w:sz w:val="20"/>
                      <w:szCs w:val="20"/>
                      <w:lang w:val="en-US"/>
                    </w:rPr>
                  </w:r>
                  <w:r>
                    <w:rPr>
                      <w:sz w:val="20"/>
                      <w:szCs w:val="20"/>
                      <w:lang w:val="en-US"/>
                    </w:rPr>
                    <w:fldChar w:fldCharType="separate"/>
                  </w:r>
                  <w:r w:rsidR="00F75762" w:rsidRPr="005A582B">
                    <w:rPr>
                      <w:rStyle w:val="Hyperlink"/>
                      <w:sz w:val="20"/>
                      <w:szCs w:val="20"/>
                      <w:lang w:val="en-US"/>
                    </w:rPr>
                    <w:t>Go to the Top.</w:t>
                  </w:r>
                </w:p>
                <w:p w14:paraId="3B9E5F08" w14:textId="03A817F1" w:rsidR="003A51C5" w:rsidRDefault="005A582B" w:rsidP="003A51C5">
                  <w:pPr>
                    <w:jc w:val="both"/>
                    <w:rPr>
                      <w:color w:val="1226AA"/>
                      <w:sz w:val="20"/>
                      <w:szCs w:val="20"/>
                      <w:lang w:val="en-US"/>
                    </w:rPr>
                  </w:pPr>
                  <w:r>
                    <w:rPr>
                      <w:sz w:val="20"/>
                      <w:szCs w:val="20"/>
                      <w:lang w:val="en-US"/>
                    </w:rPr>
                    <w:fldChar w:fldCharType="end"/>
                  </w:r>
                </w:p>
                <w:p w14:paraId="536B8E76" w14:textId="1348C1DD" w:rsidR="00FC6FF6" w:rsidRDefault="00FC6FF6" w:rsidP="00FC6FF6">
                  <w:pPr>
                    <w:rPr>
                      <w:b/>
                      <w:color w:val="1226AA"/>
                      <w:sz w:val="20"/>
                      <w:szCs w:val="20"/>
                      <w:lang w:val="en-US"/>
                    </w:rPr>
                  </w:pPr>
                  <w:r>
                    <w:rPr>
                      <w:b/>
                      <w:color w:val="1226AA"/>
                      <w:sz w:val="20"/>
                      <w:szCs w:val="20"/>
                      <w:lang w:val="en-US"/>
                    </w:rPr>
                    <w:lastRenderedPageBreak/>
                    <w:t>4</w:t>
                  </w:r>
                  <w:r w:rsidRPr="00B6267B">
                    <w:rPr>
                      <w:b/>
                      <w:color w:val="1226AA"/>
                      <w:sz w:val="20"/>
                      <w:szCs w:val="20"/>
                      <w:lang w:val="en-US"/>
                    </w:rPr>
                    <w:t xml:space="preserve">. </w:t>
                  </w:r>
                  <w:bookmarkStart w:id="9" w:name="ARC"/>
                  <w:r w:rsidRPr="00FC6FF6">
                    <w:rPr>
                      <w:b/>
                      <w:color w:val="1226AA"/>
                      <w:sz w:val="20"/>
                      <w:szCs w:val="20"/>
                      <w:lang w:val="en-US"/>
                    </w:rPr>
                    <w:t>DNB Annual Research Conference</w:t>
                  </w:r>
                  <w:bookmarkEnd w:id="9"/>
                </w:p>
                <w:p w14:paraId="0035280A" w14:textId="0DC4D612" w:rsidR="00FC6FF6" w:rsidRDefault="00FC6FF6" w:rsidP="003A51C5">
                  <w:pPr>
                    <w:jc w:val="both"/>
                    <w:rPr>
                      <w:color w:val="1226AA"/>
                      <w:sz w:val="20"/>
                      <w:szCs w:val="20"/>
                      <w:lang w:val="en-US"/>
                    </w:rPr>
                  </w:pPr>
                  <w:r w:rsidRPr="00FC6FF6">
                    <w:rPr>
                      <w:color w:val="1226AA"/>
                      <w:sz w:val="20"/>
                      <w:szCs w:val="20"/>
                      <w:lang w:val="en-US"/>
                    </w:rPr>
                    <w:t xml:space="preserve">On November 21-22, 2024, De </w:t>
                  </w:r>
                  <w:proofErr w:type="spellStart"/>
                  <w:r w:rsidRPr="00FC6FF6">
                    <w:rPr>
                      <w:color w:val="1226AA"/>
                      <w:sz w:val="20"/>
                      <w:szCs w:val="20"/>
                      <w:lang w:val="en-US"/>
                    </w:rPr>
                    <w:t>Nederlandsche</w:t>
                  </w:r>
                  <w:proofErr w:type="spellEnd"/>
                  <w:r w:rsidRPr="00FC6FF6">
                    <w:rPr>
                      <w:color w:val="1226AA"/>
                      <w:sz w:val="20"/>
                      <w:szCs w:val="20"/>
                      <w:lang w:val="en-US"/>
                    </w:rPr>
                    <w:t xml:space="preserve"> Bank organized its 27th Annual Research Conference. The conference theme was “The Macroeconomic Effects of Geopolitical Uncertainty”. The event featured two keynote speeches by Pierre-Olivier </w:t>
                  </w:r>
                  <w:proofErr w:type="spellStart"/>
                  <w:r w:rsidRPr="00FC6FF6">
                    <w:rPr>
                      <w:color w:val="1226AA"/>
                      <w:sz w:val="20"/>
                      <w:szCs w:val="20"/>
                      <w:lang w:val="en-US"/>
                    </w:rPr>
                    <w:t>Gourinchas</w:t>
                  </w:r>
                  <w:proofErr w:type="spellEnd"/>
                  <w:r w:rsidRPr="00FC6FF6">
                    <w:rPr>
                      <w:color w:val="1226AA"/>
                      <w:sz w:val="20"/>
                      <w:szCs w:val="20"/>
                      <w:lang w:val="en-US"/>
                    </w:rPr>
                    <w:t xml:space="preserve"> and Sydney C. Ludvigson, a policy panel discussion with Pierre-Olivier </w:t>
                  </w:r>
                  <w:proofErr w:type="spellStart"/>
                  <w:r w:rsidRPr="00FC6FF6">
                    <w:rPr>
                      <w:color w:val="1226AA"/>
                      <w:sz w:val="20"/>
                      <w:szCs w:val="20"/>
                      <w:lang w:val="en-US"/>
                    </w:rPr>
                    <w:t>Gourinchas</w:t>
                  </w:r>
                  <w:proofErr w:type="spellEnd"/>
                  <w:r w:rsidRPr="00FC6FF6">
                    <w:rPr>
                      <w:color w:val="1226AA"/>
                      <w:sz w:val="20"/>
                      <w:szCs w:val="20"/>
                      <w:lang w:val="en-US"/>
                    </w:rPr>
                    <w:t xml:space="preserve"> and Philip Lane, and the presentation of eight high-quality research papers.</w:t>
                  </w:r>
                </w:p>
                <w:p w14:paraId="148755B6" w14:textId="77777777" w:rsidR="00FC6FF6" w:rsidRDefault="00FC6FF6" w:rsidP="003A51C5">
                  <w:pPr>
                    <w:jc w:val="both"/>
                    <w:rPr>
                      <w:color w:val="1226AA"/>
                      <w:sz w:val="20"/>
                      <w:szCs w:val="20"/>
                      <w:lang w:val="en-US"/>
                    </w:rPr>
                  </w:pPr>
                </w:p>
                <w:p w14:paraId="24E93544" w14:textId="77777777" w:rsidR="00FC6FF6" w:rsidRDefault="00FC6FF6" w:rsidP="00FC6FF6">
                  <w:pPr>
                    <w:rPr>
                      <w:color w:val="1226AA"/>
                      <w:sz w:val="20"/>
                      <w:szCs w:val="20"/>
                      <w:lang w:val="en-US"/>
                    </w:rPr>
                  </w:pPr>
                  <w:r w:rsidRPr="00045B42">
                    <w:rPr>
                      <w:b/>
                      <w:bCs/>
                      <w:color w:val="1226AA"/>
                      <w:sz w:val="20"/>
                      <w:szCs w:val="20"/>
                      <w:lang w:val="en-US"/>
                    </w:rPr>
                    <w:t>Read more?</w:t>
                  </w:r>
                  <w:r w:rsidRPr="00B6267B">
                    <w:rPr>
                      <w:color w:val="1226AA"/>
                      <w:sz w:val="20"/>
                      <w:szCs w:val="20"/>
                      <w:lang w:val="en-US"/>
                    </w:rPr>
                    <w:t xml:space="preserve"> </w:t>
                  </w:r>
                </w:p>
                <w:p w14:paraId="0634B22F" w14:textId="184F9696" w:rsidR="004547BF" w:rsidRDefault="00FC6FF6" w:rsidP="001D4AD3">
                  <w:pPr>
                    <w:rPr>
                      <w:color w:val="1226AA"/>
                      <w:sz w:val="20"/>
                      <w:szCs w:val="20"/>
                      <w:lang w:val="en-US"/>
                    </w:rPr>
                  </w:pPr>
                  <w:r w:rsidRPr="00FC6FF6">
                    <w:rPr>
                      <w:color w:val="1226AA"/>
                      <w:sz w:val="20"/>
                      <w:szCs w:val="20"/>
                      <w:lang w:val="en-US"/>
                    </w:rPr>
                    <w:t xml:space="preserve">Read the summary in the </w:t>
                  </w:r>
                  <w:hyperlink r:id="rId53" w:history="1">
                    <w:r w:rsidRPr="00FC6FF6">
                      <w:rPr>
                        <w:rStyle w:val="Hyperlink"/>
                        <w:sz w:val="20"/>
                        <w:szCs w:val="20"/>
                        <w:lang w:val="en-US"/>
                      </w:rPr>
                      <w:t>conference website</w:t>
                    </w:r>
                  </w:hyperlink>
                  <w:r w:rsidRPr="00FC6FF6">
                    <w:rPr>
                      <w:color w:val="1226AA"/>
                      <w:sz w:val="20"/>
                      <w:szCs w:val="20"/>
                      <w:lang w:val="en-US"/>
                    </w:rPr>
                    <w:t>.</w:t>
                  </w:r>
                </w:p>
                <w:p w14:paraId="351949F6" w14:textId="34D1E646" w:rsidR="005A582B" w:rsidRPr="005A582B" w:rsidRDefault="005A582B" w:rsidP="005A582B">
                  <w:pPr>
                    <w:jc w:val="both"/>
                    <w:rPr>
                      <w:rStyle w:val="Hyperlink"/>
                      <w:sz w:val="20"/>
                      <w:szCs w:val="20"/>
                      <w:lang w:val="en-US"/>
                    </w:rPr>
                  </w:pPr>
                  <w:r>
                    <w:rPr>
                      <w:sz w:val="20"/>
                      <w:szCs w:val="20"/>
                      <w:lang w:val="en-US"/>
                    </w:rPr>
                    <w:fldChar w:fldCharType="begin"/>
                  </w:r>
                  <w:r>
                    <w:rPr>
                      <w:sz w:val="20"/>
                      <w:szCs w:val="20"/>
                      <w:lang w:val="en-US"/>
                    </w:rPr>
                    <w:instrText>HYPERLINK  \l "R1top"</w:instrText>
                  </w:r>
                  <w:r>
                    <w:rPr>
                      <w:sz w:val="20"/>
                      <w:szCs w:val="20"/>
                      <w:lang w:val="en-US"/>
                    </w:rPr>
                  </w:r>
                  <w:r>
                    <w:rPr>
                      <w:sz w:val="20"/>
                      <w:szCs w:val="20"/>
                      <w:lang w:val="en-US"/>
                    </w:rPr>
                    <w:fldChar w:fldCharType="separate"/>
                  </w:r>
                  <w:r w:rsidRPr="005A582B">
                    <w:rPr>
                      <w:rStyle w:val="Hyperlink"/>
                      <w:sz w:val="20"/>
                      <w:szCs w:val="20"/>
                      <w:lang w:val="en-US"/>
                    </w:rPr>
                    <w:t>Go to the Top.</w:t>
                  </w:r>
                </w:p>
                <w:p w14:paraId="13743190" w14:textId="4C0FA98F" w:rsidR="00FC6FF6" w:rsidRDefault="005A582B" w:rsidP="001D4AD3">
                  <w:pPr>
                    <w:rPr>
                      <w:color w:val="1226AA"/>
                      <w:sz w:val="20"/>
                      <w:szCs w:val="20"/>
                      <w:lang w:val="en-US"/>
                    </w:rPr>
                  </w:pPr>
                  <w:r>
                    <w:rPr>
                      <w:sz w:val="20"/>
                      <w:szCs w:val="20"/>
                      <w:lang w:val="en-US"/>
                    </w:rPr>
                    <w:fldChar w:fldCharType="end"/>
                  </w:r>
                </w:p>
                <w:p w14:paraId="7C4FB240" w14:textId="45AB7F57" w:rsidR="00FC6FF6" w:rsidRDefault="00FC6FF6" w:rsidP="00FC6FF6">
                  <w:pPr>
                    <w:rPr>
                      <w:b/>
                      <w:color w:val="1226AA"/>
                      <w:sz w:val="20"/>
                      <w:szCs w:val="20"/>
                      <w:lang w:val="en-US"/>
                    </w:rPr>
                  </w:pPr>
                  <w:r>
                    <w:rPr>
                      <w:b/>
                      <w:color w:val="1226AA"/>
                      <w:sz w:val="20"/>
                      <w:szCs w:val="20"/>
                      <w:lang w:val="en-US"/>
                    </w:rPr>
                    <w:t>5</w:t>
                  </w:r>
                  <w:r w:rsidRPr="00B6267B">
                    <w:rPr>
                      <w:b/>
                      <w:color w:val="1226AA"/>
                      <w:sz w:val="20"/>
                      <w:szCs w:val="20"/>
                      <w:lang w:val="en-US"/>
                    </w:rPr>
                    <w:t xml:space="preserve">. </w:t>
                  </w:r>
                  <w:bookmarkStart w:id="10" w:name="XAmsterdam"/>
                  <w:r w:rsidRPr="00FC6FF6">
                    <w:rPr>
                      <w:b/>
                      <w:color w:val="1226AA"/>
                      <w:sz w:val="20"/>
                      <w:szCs w:val="20"/>
                      <w:lang w:val="en-US"/>
                    </w:rPr>
                    <w:t xml:space="preserve">3rd </w:t>
                  </w:r>
                  <w:proofErr w:type="spellStart"/>
                  <w:r w:rsidRPr="00FC6FF6">
                    <w:rPr>
                      <w:b/>
                      <w:color w:val="1226AA"/>
                      <w:sz w:val="20"/>
                      <w:szCs w:val="20"/>
                      <w:lang w:val="en-US"/>
                    </w:rPr>
                    <w:t>XAmsterdam</w:t>
                  </w:r>
                  <w:proofErr w:type="spellEnd"/>
                  <w:r w:rsidRPr="00FC6FF6">
                    <w:rPr>
                      <w:b/>
                      <w:color w:val="1226AA"/>
                      <w:sz w:val="20"/>
                      <w:szCs w:val="20"/>
                      <w:lang w:val="en-US"/>
                    </w:rPr>
                    <w:t xml:space="preserve"> Macroeconomic Workshop</w:t>
                  </w:r>
                  <w:bookmarkEnd w:id="10"/>
                </w:p>
                <w:p w14:paraId="2FEA0C78" w14:textId="77777777" w:rsidR="00FC6FF6" w:rsidRPr="00FC6FF6" w:rsidRDefault="00FC6FF6" w:rsidP="00FC6FF6">
                  <w:pPr>
                    <w:rPr>
                      <w:color w:val="1226AA"/>
                      <w:sz w:val="20"/>
                      <w:szCs w:val="20"/>
                      <w:lang w:val="en-US"/>
                    </w:rPr>
                  </w:pPr>
                  <w:r w:rsidRPr="00FC6FF6">
                    <w:rPr>
                      <w:color w:val="1226AA"/>
                      <w:sz w:val="20"/>
                      <w:szCs w:val="20"/>
                      <w:lang w:val="en-US"/>
                    </w:rPr>
                    <w:t xml:space="preserve">The workshop was aimed at bringing together leading researchers, junior scholars and experts from the policy community in the field of macroeconomics, and at fostering interactions between economists in the United States (or other parts of the world) and economists in the Netherlands or Europe. The workshop was co-organized by Tinbergen Institute, De </w:t>
                  </w:r>
                  <w:proofErr w:type="spellStart"/>
                  <w:r w:rsidRPr="00FC6FF6">
                    <w:rPr>
                      <w:color w:val="1226AA"/>
                      <w:sz w:val="20"/>
                      <w:szCs w:val="20"/>
                      <w:lang w:val="en-US"/>
                    </w:rPr>
                    <w:t>Nederlandsche</w:t>
                  </w:r>
                  <w:proofErr w:type="spellEnd"/>
                  <w:r w:rsidRPr="00FC6FF6">
                    <w:rPr>
                      <w:color w:val="1226AA"/>
                      <w:sz w:val="20"/>
                      <w:szCs w:val="20"/>
                      <w:lang w:val="en-US"/>
                    </w:rPr>
                    <w:t xml:space="preserve"> Bank (DNB), Erasmus Universiteit Rotterdam, the University of Amsterdam, and Vrije Universiteit Amsterdam.</w:t>
                  </w:r>
                </w:p>
                <w:p w14:paraId="5C520980" w14:textId="052EBEFA" w:rsidR="00FC6FF6" w:rsidRDefault="00FC6FF6" w:rsidP="00FC6FF6">
                  <w:pPr>
                    <w:rPr>
                      <w:color w:val="1226AA"/>
                      <w:sz w:val="20"/>
                      <w:szCs w:val="20"/>
                      <w:lang w:val="en-US"/>
                    </w:rPr>
                  </w:pPr>
                  <w:r w:rsidRPr="00FC6FF6">
                    <w:rPr>
                      <w:color w:val="1226AA"/>
                      <w:sz w:val="20"/>
                      <w:szCs w:val="20"/>
                      <w:lang w:val="en-US"/>
                    </w:rPr>
                    <w:t>Th</w:t>
                  </w:r>
                  <w:r>
                    <w:rPr>
                      <w:color w:val="1226AA"/>
                      <w:sz w:val="20"/>
                      <w:szCs w:val="20"/>
                      <w:lang w:val="en-US"/>
                    </w:rPr>
                    <w:t>e 2024</w:t>
                  </w:r>
                  <w:r w:rsidRPr="00FC6FF6">
                    <w:rPr>
                      <w:color w:val="1226AA"/>
                      <w:sz w:val="20"/>
                      <w:szCs w:val="20"/>
                      <w:lang w:val="en-US"/>
                    </w:rPr>
                    <w:t xml:space="preserve">'s edition had as keynotes Aysegul Sahin (Princeton University) and Kjetil </w:t>
                  </w:r>
                  <w:proofErr w:type="spellStart"/>
                  <w:r w:rsidRPr="00FC6FF6">
                    <w:rPr>
                      <w:color w:val="1226AA"/>
                      <w:sz w:val="20"/>
                      <w:szCs w:val="20"/>
                      <w:lang w:val="en-US"/>
                    </w:rPr>
                    <w:t>Storesletten</w:t>
                  </w:r>
                  <w:proofErr w:type="spellEnd"/>
                  <w:r w:rsidRPr="00FC6FF6">
                    <w:rPr>
                      <w:color w:val="1226AA"/>
                      <w:sz w:val="20"/>
                      <w:szCs w:val="20"/>
                      <w:lang w:val="en-US"/>
                    </w:rPr>
                    <w:t xml:space="preserve"> (University of Minnesota) and twelve scientific presentations. </w:t>
                  </w:r>
                </w:p>
                <w:p w14:paraId="7ACCD658" w14:textId="77777777" w:rsidR="00FC6FF6" w:rsidRDefault="00FC6FF6" w:rsidP="00FC6FF6">
                  <w:pPr>
                    <w:rPr>
                      <w:color w:val="1226AA"/>
                      <w:sz w:val="20"/>
                      <w:szCs w:val="20"/>
                      <w:lang w:val="en-US"/>
                    </w:rPr>
                  </w:pPr>
                </w:p>
                <w:p w14:paraId="7080B840" w14:textId="77777777" w:rsidR="00FC6FF6" w:rsidRDefault="00FC6FF6" w:rsidP="00FC6FF6">
                  <w:pPr>
                    <w:rPr>
                      <w:color w:val="1226AA"/>
                      <w:sz w:val="20"/>
                      <w:szCs w:val="20"/>
                      <w:lang w:val="en-US"/>
                    </w:rPr>
                  </w:pPr>
                  <w:r w:rsidRPr="00045B42">
                    <w:rPr>
                      <w:b/>
                      <w:bCs/>
                      <w:color w:val="1226AA"/>
                      <w:sz w:val="20"/>
                      <w:szCs w:val="20"/>
                      <w:lang w:val="en-US"/>
                    </w:rPr>
                    <w:t>Read more?</w:t>
                  </w:r>
                  <w:r w:rsidRPr="00B6267B">
                    <w:rPr>
                      <w:color w:val="1226AA"/>
                      <w:sz w:val="20"/>
                      <w:szCs w:val="20"/>
                      <w:lang w:val="en-US"/>
                    </w:rPr>
                    <w:t xml:space="preserve"> </w:t>
                  </w:r>
                </w:p>
                <w:p w14:paraId="2E6FA18D" w14:textId="77777777" w:rsidR="005A582B" w:rsidRDefault="00FC6FF6" w:rsidP="00FC6FF6">
                  <w:pPr>
                    <w:rPr>
                      <w:color w:val="1226AA"/>
                      <w:sz w:val="20"/>
                      <w:szCs w:val="20"/>
                      <w:lang w:val="en-US"/>
                    </w:rPr>
                  </w:pPr>
                  <w:r>
                    <w:rPr>
                      <w:color w:val="1226AA"/>
                      <w:sz w:val="20"/>
                      <w:szCs w:val="20"/>
                      <w:lang w:val="en-US"/>
                    </w:rPr>
                    <w:t xml:space="preserve">The conference program is available on </w:t>
                  </w:r>
                  <w:hyperlink r:id="rId54" w:history="1">
                    <w:r w:rsidRPr="00FC6FF6">
                      <w:rPr>
                        <w:rStyle w:val="Hyperlink"/>
                        <w:sz w:val="20"/>
                        <w:szCs w:val="20"/>
                        <w:lang w:val="en-US"/>
                      </w:rPr>
                      <w:t>this website</w:t>
                    </w:r>
                  </w:hyperlink>
                  <w:r>
                    <w:rPr>
                      <w:color w:val="1226AA"/>
                      <w:sz w:val="20"/>
                      <w:szCs w:val="20"/>
                      <w:lang w:val="en-US"/>
                    </w:rPr>
                    <w:t>.</w:t>
                  </w:r>
                </w:p>
                <w:p w14:paraId="0B95633C" w14:textId="7A907ABC" w:rsidR="005A582B" w:rsidRPr="005A582B" w:rsidRDefault="005A582B" w:rsidP="005A582B">
                  <w:pPr>
                    <w:jc w:val="both"/>
                    <w:rPr>
                      <w:rStyle w:val="Hyperlink"/>
                      <w:sz w:val="20"/>
                      <w:szCs w:val="20"/>
                      <w:lang w:val="en-US"/>
                    </w:rPr>
                  </w:pPr>
                  <w:r>
                    <w:rPr>
                      <w:sz w:val="20"/>
                      <w:szCs w:val="20"/>
                      <w:lang w:val="en-US"/>
                    </w:rPr>
                    <w:fldChar w:fldCharType="begin"/>
                  </w:r>
                  <w:r>
                    <w:rPr>
                      <w:sz w:val="20"/>
                      <w:szCs w:val="20"/>
                      <w:lang w:val="en-US"/>
                    </w:rPr>
                    <w:instrText>HYPERLINK  \l "R1top"</w:instrText>
                  </w:r>
                  <w:r>
                    <w:rPr>
                      <w:sz w:val="20"/>
                      <w:szCs w:val="20"/>
                      <w:lang w:val="en-US"/>
                    </w:rPr>
                  </w:r>
                  <w:r>
                    <w:rPr>
                      <w:sz w:val="20"/>
                      <w:szCs w:val="20"/>
                      <w:lang w:val="en-US"/>
                    </w:rPr>
                    <w:fldChar w:fldCharType="separate"/>
                  </w:r>
                  <w:r w:rsidRPr="005A582B">
                    <w:rPr>
                      <w:rStyle w:val="Hyperlink"/>
                      <w:sz w:val="20"/>
                      <w:szCs w:val="20"/>
                      <w:lang w:val="en-US"/>
                    </w:rPr>
                    <w:t>Go to the Top.</w:t>
                  </w:r>
                </w:p>
                <w:p w14:paraId="42D52B37" w14:textId="3A498E40" w:rsidR="00FC6FF6" w:rsidRPr="00B6267B" w:rsidRDefault="005A582B" w:rsidP="00FC6FF6">
                  <w:pPr>
                    <w:rPr>
                      <w:color w:val="1226AA"/>
                      <w:sz w:val="20"/>
                      <w:szCs w:val="20"/>
                      <w:lang w:val="en-US"/>
                    </w:rPr>
                  </w:pPr>
                  <w:r>
                    <w:rPr>
                      <w:sz w:val="20"/>
                      <w:szCs w:val="20"/>
                      <w:lang w:val="en-US"/>
                    </w:rPr>
                    <w:fldChar w:fldCharType="end"/>
                  </w:r>
                  <w:r w:rsidR="00FC6FF6">
                    <w:rPr>
                      <w:color w:val="1226AA"/>
                      <w:sz w:val="20"/>
                      <w:szCs w:val="20"/>
                      <w:lang w:val="en-US"/>
                    </w:rPr>
                    <w:br/>
                  </w:r>
                </w:p>
                <w:p w14:paraId="5BD56DB2" w14:textId="77777777" w:rsidR="00F75762" w:rsidRPr="00B6267B" w:rsidRDefault="00F75762" w:rsidP="001D4AD3">
                  <w:pPr>
                    <w:spacing w:line="240" w:lineRule="auto"/>
                    <w:rPr>
                      <w:color w:val="1226AA"/>
                      <w:sz w:val="20"/>
                      <w:szCs w:val="20"/>
                      <w:lang w:val="en-US"/>
                    </w:rPr>
                  </w:pPr>
                  <w:r w:rsidRPr="00B6267B">
                    <w:rPr>
                      <w:color w:val="1226AA"/>
                      <w:sz w:val="20"/>
                      <w:szCs w:val="20"/>
                      <w:lang w:val="en-US"/>
                    </w:rPr>
                    <w:t xml:space="preserve">Contact: </w:t>
                  </w:r>
                  <w:hyperlink r:id="rId55" w:history="1">
                    <w:r w:rsidRPr="00B6267B">
                      <w:rPr>
                        <w:rStyle w:val="Hyperlink"/>
                        <w:sz w:val="20"/>
                        <w:szCs w:val="20"/>
                        <w:lang w:val="en-US"/>
                      </w:rPr>
                      <w:t>Office.ebo@dnb.nl</w:t>
                    </w:r>
                  </w:hyperlink>
                </w:p>
                <w:p w14:paraId="25DE1FF4" w14:textId="77777777" w:rsidR="00F75762" w:rsidRPr="00B6267B" w:rsidRDefault="00F75762" w:rsidP="001D4AD3">
                  <w:pPr>
                    <w:spacing w:line="240" w:lineRule="auto"/>
                    <w:rPr>
                      <w:color w:val="1226AA"/>
                      <w:sz w:val="20"/>
                      <w:szCs w:val="20"/>
                      <w:lang w:val="en-US"/>
                    </w:rPr>
                  </w:pPr>
                </w:p>
                <w:tbl>
                  <w:tblPr>
                    <w:tblW w:w="5000" w:type="pct"/>
                    <w:shd w:val="clear" w:color="auto" w:fill="44287F"/>
                    <w:tblCellMar>
                      <w:left w:w="0" w:type="dxa"/>
                      <w:right w:w="0" w:type="dxa"/>
                    </w:tblCellMar>
                    <w:tblLook w:val="04A0" w:firstRow="1" w:lastRow="0" w:firstColumn="1" w:lastColumn="0" w:noHBand="0" w:noVBand="1"/>
                  </w:tblPr>
                  <w:tblGrid>
                    <w:gridCol w:w="2780"/>
                    <w:gridCol w:w="2781"/>
                    <w:gridCol w:w="2161"/>
                  </w:tblGrid>
                  <w:tr w:rsidR="00F75762" w:rsidRPr="00B6267B" w14:paraId="68356CDE" w14:textId="77777777" w:rsidTr="001D4AD3">
                    <w:trPr>
                      <w:trHeight w:val="113"/>
                    </w:trPr>
                    <w:tc>
                      <w:tcPr>
                        <w:tcW w:w="1800" w:type="pct"/>
                        <w:shd w:val="clear" w:color="auto" w:fill="73C2FA"/>
                        <w:tcMar>
                          <w:top w:w="170" w:type="dxa"/>
                          <w:left w:w="340" w:type="dxa"/>
                        </w:tcMar>
                      </w:tcPr>
                      <w:p w14:paraId="557CA8C2" w14:textId="77777777" w:rsidR="00F75762" w:rsidRPr="00B6267B" w:rsidRDefault="00F75762" w:rsidP="001D4AD3">
                        <w:pPr>
                          <w:spacing w:line="240" w:lineRule="auto"/>
                          <w:rPr>
                            <w:b/>
                            <w:color w:val="FEFEFE"/>
                            <w:sz w:val="20"/>
                            <w:szCs w:val="20"/>
                            <w:lang w:val="en-US"/>
                            <w14:textFill>
                              <w14:solidFill>
                                <w14:srgbClr w14:val="FEFEFE">
                                  <w14:alpha w14:val="30000"/>
                                </w14:srgbClr>
                              </w14:solidFill>
                            </w14:textFill>
                          </w:rPr>
                        </w:pPr>
                      </w:p>
                    </w:tc>
                    <w:tc>
                      <w:tcPr>
                        <w:tcW w:w="1801" w:type="pct"/>
                        <w:shd w:val="clear" w:color="auto" w:fill="73C2FA"/>
                      </w:tcPr>
                      <w:p w14:paraId="2A630181" w14:textId="77777777" w:rsidR="00F75762" w:rsidRPr="00B6267B" w:rsidRDefault="00F75762" w:rsidP="001D4AD3">
                        <w:pPr>
                          <w:rPr>
                            <w:b/>
                            <w:color w:val="FEFEFE"/>
                            <w:sz w:val="20"/>
                            <w:szCs w:val="20"/>
                            <w:lang w:val="en-US"/>
                            <w14:textFill>
                              <w14:solidFill>
                                <w14:srgbClr w14:val="FEFEFE">
                                  <w14:alpha w14:val="30000"/>
                                </w14:srgbClr>
                              </w14:solidFill>
                            </w14:textFill>
                          </w:rPr>
                        </w:pPr>
                      </w:p>
                    </w:tc>
                    <w:tc>
                      <w:tcPr>
                        <w:tcW w:w="1399" w:type="pct"/>
                        <w:shd w:val="clear" w:color="auto" w:fill="73C2FA"/>
                      </w:tcPr>
                      <w:p w14:paraId="333D8256" w14:textId="77777777" w:rsidR="00F75762" w:rsidRPr="00B6267B" w:rsidRDefault="00F75762" w:rsidP="001D4AD3">
                        <w:pPr>
                          <w:rPr>
                            <w:b/>
                            <w:color w:val="FEFEFE"/>
                            <w:sz w:val="20"/>
                            <w:szCs w:val="20"/>
                            <w:lang w:val="en-US"/>
                            <w14:textFill>
                              <w14:solidFill>
                                <w14:srgbClr w14:val="FEFEFE">
                                  <w14:alpha w14:val="30000"/>
                                </w14:srgbClr>
                              </w14:solidFill>
                            </w14:textFill>
                          </w:rPr>
                        </w:pPr>
                      </w:p>
                      <w:p w14:paraId="59BDFA3A" w14:textId="77777777" w:rsidR="00F75762" w:rsidRPr="00B6267B" w:rsidRDefault="00F75762" w:rsidP="001D4AD3">
                        <w:pPr>
                          <w:rPr>
                            <w:b/>
                            <w:color w:val="FEFEFE"/>
                            <w:sz w:val="20"/>
                            <w:szCs w:val="20"/>
                            <w14:textFill>
                              <w14:solidFill>
                                <w14:srgbClr w14:val="FEFEFE">
                                  <w14:alpha w14:val="30000"/>
                                </w14:srgbClr>
                              </w14:solidFill>
                            </w14:textFill>
                          </w:rPr>
                        </w:pPr>
                        <w:r w:rsidRPr="00B6267B">
                          <w:rPr>
                            <w:b/>
                            <w:noProof/>
                            <w:color w:val="FEFEFE"/>
                            <w:sz w:val="20"/>
                            <w:szCs w:val="20"/>
                            <w:lang w:eastAsia="nl-NL"/>
                            <w14:textFill>
                              <w14:solidFill>
                                <w14:srgbClr w14:val="FEFEFE">
                                  <w14:alpha w14:val="30000"/>
                                </w14:srgbClr>
                              </w14:solidFill>
                            </w14:textFill>
                          </w:rPr>
                          <w:drawing>
                            <wp:inline distT="0" distB="0" distL="0" distR="0" wp14:anchorId="262DF6D9" wp14:editId="699E6FBC">
                              <wp:extent cx="1241453" cy="458815"/>
                              <wp:effectExtent l="0" t="0" r="0" b="0"/>
                              <wp:docPr id="3" name="Afbeelding 3" descr="R:\Projecten\372_TID_DNB_DIRECT\van_dnb\20160701logo\Logo_DNB_150dpi_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van_dnb\20160701logo\Logo_DNB_150dpi_wit.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11444" cy="521640"/>
                                      </a:xfrm>
                                      <a:prstGeom prst="rect">
                                        <a:avLst/>
                                      </a:prstGeom>
                                      <a:noFill/>
                                      <a:ln>
                                        <a:noFill/>
                                      </a:ln>
                                    </pic:spPr>
                                  </pic:pic>
                                </a:graphicData>
                              </a:graphic>
                            </wp:inline>
                          </w:drawing>
                        </w:r>
                      </w:p>
                    </w:tc>
                  </w:tr>
                  <w:tr w:rsidR="00F75762" w:rsidRPr="00B6267B" w14:paraId="2CBF9F87" w14:textId="77777777" w:rsidTr="001D4AD3">
                    <w:tc>
                      <w:tcPr>
                        <w:tcW w:w="5000" w:type="pct"/>
                        <w:gridSpan w:val="3"/>
                        <w:shd w:val="clear" w:color="auto" w:fill="1226AA"/>
                        <w:tcMar>
                          <w:top w:w="170" w:type="dxa"/>
                          <w:left w:w="170" w:type="dxa"/>
                          <w:bottom w:w="170" w:type="dxa"/>
                        </w:tcMar>
                      </w:tcPr>
                      <w:p w14:paraId="649E6CC5" w14:textId="77777777" w:rsidR="00F75762" w:rsidRPr="00B6267B" w:rsidRDefault="00F75762" w:rsidP="001D4AD3">
                        <w:pPr>
                          <w:spacing w:line="240" w:lineRule="auto"/>
                          <w:rPr>
                            <w:color w:val="FEFEFE"/>
                            <w:sz w:val="20"/>
                            <w:szCs w:val="20"/>
                          </w:rPr>
                        </w:pPr>
                      </w:p>
                    </w:tc>
                  </w:tr>
                </w:tbl>
                <w:p w14:paraId="4E57CF57" w14:textId="77777777" w:rsidR="00F75762" w:rsidRPr="00B6267B" w:rsidRDefault="00F75762" w:rsidP="001D4AD3">
                  <w:pPr>
                    <w:rPr>
                      <w:sz w:val="20"/>
                      <w:szCs w:val="20"/>
                    </w:rPr>
                  </w:pPr>
                </w:p>
              </w:tc>
            </w:tr>
            <w:tr w:rsidR="00F75762" w:rsidRPr="00992815" w14:paraId="0DD74BE7" w14:textId="77777777" w:rsidTr="001D4AD3">
              <w:tc>
                <w:tcPr>
                  <w:tcW w:w="5000" w:type="pct"/>
                  <w:shd w:val="clear" w:color="auto" w:fill="auto"/>
                </w:tcPr>
                <w:p w14:paraId="1371BFC9" w14:textId="77777777" w:rsidR="00F75762" w:rsidRPr="00992815" w:rsidRDefault="00F75762" w:rsidP="001D4AD3">
                  <w:pPr>
                    <w:rPr>
                      <w:color w:val="FEFEFE"/>
                      <w:sz w:val="20"/>
                      <w:szCs w:val="20"/>
                      <w:lang w:val="en-US"/>
                    </w:rPr>
                  </w:pPr>
                </w:p>
              </w:tc>
            </w:tr>
          </w:tbl>
          <w:p w14:paraId="17879425" w14:textId="77777777" w:rsidR="00F75762" w:rsidRPr="00B6267B" w:rsidRDefault="00F75762" w:rsidP="001D4AD3">
            <w:pPr>
              <w:rPr>
                <w:sz w:val="20"/>
                <w:szCs w:val="20"/>
                <w:lang w:val="en-US"/>
              </w:rPr>
            </w:pPr>
          </w:p>
        </w:tc>
      </w:tr>
      <w:bookmarkEnd w:id="0"/>
      <w:bookmarkEnd w:id="1"/>
    </w:tbl>
    <w:p w14:paraId="22FB2BB6" w14:textId="77777777" w:rsidR="00F75762" w:rsidRPr="00B6267B" w:rsidRDefault="00F75762" w:rsidP="003A51C5">
      <w:pPr>
        <w:rPr>
          <w:sz w:val="20"/>
          <w:szCs w:val="20"/>
          <w:lang w:val="en-US"/>
        </w:rPr>
      </w:pPr>
    </w:p>
    <w:sectPr w:rsidR="00F75762" w:rsidRPr="00B6267B" w:rsidSect="007F0F1E">
      <w:pgSz w:w="11906" w:h="16838" w:code="9"/>
      <w:pgMar w:top="1418" w:right="1985"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Afgerond"/>
      </v:shape>
    </w:pict>
  </w:numPicBullet>
  <w:numPicBullet w:numPicBulletId="1">
    <w:pict>
      <v:shape id="_x0000_i1027" type="#_x0000_t75" style="width:13.5pt;height:13.5pt" o:bullet="t">
        <v:imagedata r:id="rId2" o:title="blokje"/>
      </v:shape>
    </w:pict>
  </w:numPicBullet>
  <w:numPicBullet w:numPicBulletId="2">
    <w:pict>
      <v:shape id="_x0000_i1028" type="#_x0000_t75" style="width:11.25pt;height:11.25pt" o:bullet="t">
        <v:imagedata r:id="rId3" o:title="BD10268_"/>
      </v:shape>
    </w:pict>
  </w:numPicBullet>
  <w:numPicBullet w:numPicBulletId="3">
    <w:pict>
      <v:shape id="_x0000_i1029" type="#_x0000_t75" style="width:11.25pt;height:11.25pt" o:bullet="t">
        <v:imagedata r:id="rId4" o:title="blokje14x14"/>
      </v:shape>
    </w:pict>
  </w:numPicBullet>
  <w:numPicBullet w:numPicBulletId="4">
    <w:pict>
      <v:shape id="_x0000_i1030" type="#_x0000_t75" style="width:11.25pt;height:11.25pt" o:bullet="t">
        <v:imagedata r:id="rId5" o:title="blokje12x12"/>
      </v:shape>
    </w:pict>
  </w:numPicBullet>
  <w:numPicBullet w:numPicBulletId="5">
    <w:pict>
      <v:shape id="_x0000_i1031" type="#_x0000_t75" style="width:8.25pt;height:8.25pt" o:bullet="t">
        <v:imagedata r:id="rId6" o:title="blokje10x10"/>
      </v:shape>
    </w:pict>
  </w:numPicBullet>
  <w:numPicBullet w:numPicBulletId="6">
    <w:pict>
      <v:shape id="_x0000_i1032" type="#_x0000_t75" style="width:6.75pt;height:6.75pt" o:bullet="t">
        <v:imagedata r:id="rId7" o:title="FMblokje"/>
      </v:shape>
    </w:pict>
  </w:numPicBullet>
  <w:abstractNum w:abstractNumId="0" w15:restartNumberingAfterBreak="0">
    <w:nsid w:val="FFFFFF7C"/>
    <w:multiLevelType w:val="singleLevel"/>
    <w:tmpl w:val="C38EADD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1BEBFC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180A4D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C0A83C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EF2AC11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CA256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A81A9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8ABE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5CA9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492CB16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BA60482"/>
    <w:multiLevelType w:val="hybridMultilevel"/>
    <w:tmpl w:val="209668EC"/>
    <w:lvl w:ilvl="0" w:tplc="A1F0F238">
      <w:start w:val="1"/>
      <w:numFmt w:val="bullet"/>
      <w:lvlText w:val="–"/>
      <w:lvlJc w:val="left"/>
      <w:pPr>
        <w:ind w:left="360" w:hanging="360"/>
      </w:pPr>
      <w:rPr>
        <w:rFonts w:ascii="Verdana" w:hAnsi="Verdana" w:hint="default"/>
        <w:b/>
        <w:i w:val="0"/>
        <w:color w:val="1226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0455CDE"/>
    <w:multiLevelType w:val="hybridMultilevel"/>
    <w:tmpl w:val="DAF81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31A0302"/>
    <w:multiLevelType w:val="hybridMultilevel"/>
    <w:tmpl w:val="9E944272"/>
    <w:lvl w:ilvl="0" w:tplc="E93A0C7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17F4B98"/>
    <w:multiLevelType w:val="multilevel"/>
    <w:tmpl w:val="658056C8"/>
    <w:lvl w:ilvl="0">
      <w:start w:val="1"/>
      <w:numFmt w:val="bullet"/>
      <w:lvlText w:val="–"/>
      <w:lvlJc w:val="left"/>
      <w:pPr>
        <w:ind w:left="360" w:hanging="360"/>
      </w:pPr>
      <w:rPr>
        <w:rFonts w:ascii="Verdana" w:hAnsi="Verdana" w:hint="default"/>
        <w:b/>
        <w:i w:val="0"/>
        <w:color w:val="1226AA"/>
        <w:sz w:val="20"/>
      </w:rPr>
    </w:lvl>
    <w:lvl w:ilvl="1">
      <w:start w:val="1"/>
      <w:numFmt w:val="bullet"/>
      <w:lvlText w:val="o"/>
      <w:lvlJc w:val="left"/>
      <w:pPr>
        <w:ind w:left="500" w:firstLine="0"/>
      </w:pPr>
      <w:rPr>
        <w:rFonts w:ascii="Courier New" w:hAnsi="Courier New" w:cs="Courier New" w:hint="default"/>
      </w:rPr>
    </w:lvl>
    <w:lvl w:ilvl="2">
      <w:start w:val="1"/>
      <w:numFmt w:val="bullet"/>
      <w:lvlText w:val=""/>
      <w:lvlJc w:val="left"/>
      <w:pPr>
        <w:ind w:left="750" w:firstLine="0"/>
      </w:pPr>
      <w:rPr>
        <w:rFonts w:ascii="Wingdings" w:hAnsi="Wingdings" w:hint="default"/>
      </w:rPr>
    </w:lvl>
    <w:lvl w:ilvl="3">
      <w:start w:val="1"/>
      <w:numFmt w:val="bullet"/>
      <w:lvlText w:val=""/>
      <w:lvlJc w:val="left"/>
      <w:pPr>
        <w:ind w:left="1000" w:firstLine="0"/>
      </w:pPr>
      <w:rPr>
        <w:rFonts w:ascii="Symbol" w:hAnsi="Symbol" w:hint="default"/>
      </w:rPr>
    </w:lvl>
    <w:lvl w:ilvl="4">
      <w:start w:val="1"/>
      <w:numFmt w:val="bullet"/>
      <w:lvlText w:val="o"/>
      <w:lvlJc w:val="left"/>
      <w:pPr>
        <w:ind w:left="1250" w:firstLine="0"/>
      </w:pPr>
      <w:rPr>
        <w:rFonts w:ascii="Courier New" w:hAnsi="Courier New" w:cs="Courier New" w:hint="default"/>
      </w:rPr>
    </w:lvl>
    <w:lvl w:ilvl="5">
      <w:start w:val="1"/>
      <w:numFmt w:val="bullet"/>
      <w:lvlText w:val=""/>
      <w:lvlJc w:val="left"/>
      <w:pPr>
        <w:ind w:left="1500" w:firstLine="0"/>
      </w:pPr>
      <w:rPr>
        <w:rFonts w:ascii="Wingdings" w:hAnsi="Wingdings" w:hint="default"/>
      </w:rPr>
    </w:lvl>
    <w:lvl w:ilvl="6">
      <w:start w:val="1"/>
      <w:numFmt w:val="bullet"/>
      <w:lvlText w:val=""/>
      <w:lvlJc w:val="left"/>
      <w:pPr>
        <w:ind w:left="1750" w:firstLine="0"/>
      </w:pPr>
      <w:rPr>
        <w:rFonts w:ascii="Symbol" w:hAnsi="Symbol" w:hint="default"/>
      </w:rPr>
    </w:lvl>
    <w:lvl w:ilvl="7">
      <w:start w:val="1"/>
      <w:numFmt w:val="bullet"/>
      <w:lvlText w:val="o"/>
      <w:lvlJc w:val="left"/>
      <w:pPr>
        <w:ind w:left="2000" w:firstLine="0"/>
      </w:pPr>
      <w:rPr>
        <w:rFonts w:ascii="Courier New" w:hAnsi="Courier New" w:cs="Courier New" w:hint="default"/>
      </w:rPr>
    </w:lvl>
    <w:lvl w:ilvl="8">
      <w:start w:val="1"/>
      <w:numFmt w:val="bullet"/>
      <w:lvlText w:val=""/>
      <w:lvlJc w:val="left"/>
      <w:pPr>
        <w:ind w:left="2250" w:firstLine="0"/>
      </w:pPr>
      <w:rPr>
        <w:rFonts w:ascii="Wingdings" w:hAnsi="Wingdings" w:hint="default"/>
      </w:rPr>
    </w:lvl>
  </w:abstractNum>
  <w:abstractNum w:abstractNumId="14" w15:restartNumberingAfterBreak="0">
    <w:nsid w:val="3EC82CC6"/>
    <w:multiLevelType w:val="hybridMultilevel"/>
    <w:tmpl w:val="E3605E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6C36B7E"/>
    <w:multiLevelType w:val="hybridMultilevel"/>
    <w:tmpl w:val="429E35F4"/>
    <w:lvl w:ilvl="0" w:tplc="FAF8811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CDA3125"/>
    <w:multiLevelType w:val="hybridMultilevel"/>
    <w:tmpl w:val="1442ABDA"/>
    <w:lvl w:ilvl="0" w:tplc="A1F0F238">
      <w:start w:val="1"/>
      <w:numFmt w:val="bullet"/>
      <w:lvlText w:val="–"/>
      <w:lvlJc w:val="left"/>
      <w:pPr>
        <w:ind w:left="720" w:hanging="360"/>
      </w:pPr>
      <w:rPr>
        <w:rFonts w:ascii="Verdana" w:hAnsi="Verdana" w:hint="default"/>
        <w:b/>
        <w:i w:val="0"/>
        <w:color w:val="1226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0407902">
    <w:abstractNumId w:val="13"/>
  </w:num>
  <w:num w:numId="2" w16cid:durableId="587731895">
    <w:abstractNumId w:val="13"/>
  </w:num>
  <w:num w:numId="3" w16cid:durableId="1972785586">
    <w:abstractNumId w:val="16"/>
  </w:num>
  <w:num w:numId="4" w16cid:durableId="1569994096">
    <w:abstractNumId w:val="11"/>
  </w:num>
  <w:num w:numId="5" w16cid:durableId="2074429221">
    <w:abstractNumId w:val="10"/>
  </w:num>
  <w:num w:numId="6" w16cid:durableId="1773012789">
    <w:abstractNumId w:val="9"/>
  </w:num>
  <w:num w:numId="7" w16cid:durableId="596013581">
    <w:abstractNumId w:val="7"/>
  </w:num>
  <w:num w:numId="8" w16cid:durableId="1227454178">
    <w:abstractNumId w:val="6"/>
  </w:num>
  <w:num w:numId="9" w16cid:durableId="1778868599">
    <w:abstractNumId w:val="5"/>
  </w:num>
  <w:num w:numId="10" w16cid:durableId="167256595">
    <w:abstractNumId w:val="4"/>
  </w:num>
  <w:num w:numId="11" w16cid:durableId="53625213">
    <w:abstractNumId w:val="8"/>
  </w:num>
  <w:num w:numId="12" w16cid:durableId="1485659876">
    <w:abstractNumId w:val="3"/>
  </w:num>
  <w:num w:numId="13" w16cid:durableId="1642230616">
    <w:abstractNumId w:val="2"/>
  </w:num>
  <w:num w:numId="14" w16cid:durableId="109133030">
    <w:abstractNumId w:val="1"/>
  </w:num>
  <w:num w:numId="15" w16cid:durableId="32732627">
    <w:abstractNumId w:val="0"/>
  </w:num>
  <w:num w:numId="16" w16cid:durableId="1192721866">
    <w:abstractNumId w:val="14"/>
  </w:num>
  <w:num w:numId="17" w16cid:durableId="2063016724">
    <w:abstractNumId w:val="12"/>
  </w:num>
  <w:num w:numId="18" w16cid:durableId="4058795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E1"/>
    <w:rsid w:val="000101D9"/>
    <w:rsid w:val="00011792"/>
    <w:rsid w:val="000126F5"/>
    <w:rsid w:val="00012E8D"/>
    <w:rsid w:val="0001766D"/>
    <w:rsid w:val="00020C33"/>
    <w:rsid w:val="000260A6"/>
    <w:rsid w:val="0003346C"/>
    <w:rsid w:val="00036182"/>
    <w:rsid w:val="00044252"/>
    <w:rsid w:val="00045B42"/>
    <w:rsid w:val="00046D94"/>
    <w:rsid w:val="00050430"/>
    <w:rsid w:val="00057FAA"/>
    <w:rsid w:val="00063166"/>
    <w:rsid w:val="00063A61"/>
    <w:rsid w:val="00065607"/>
    <w:rsid w:val="00071E61"/>
    <w:rsid w:val="00072288"/>
    <w:rsid w:val="00074397"/>
    <w:rsid w:val="0007562C"/>
    <w:rsid w:val="00081420"/>
    <w:rsid w:val="00083DAF"/>
    <w:rsid w:val="00087D54"/>
    <w:rsid w:val="0009166B"/>
    <w:rsid w:val="000916F7"/>
    <w:rsid w:val="00091EDB"/>
    <w:rsid w:val="00096B8C"/>
    <w:rsid w:val="000A4976"/>
    <w:rsid w:val="000A71CA"/>
    <w:rsid w:val="000B2A66"/>
    <w:rsid w:val="000B5288"/>
    <w:rsid w:val="000C1B3E"/>
    <w:rsid w:val="000D28CE"/>
    <w:rsid w:val="000D6A49"/>
    <w:rsid w:val="000E7C46"/>
    <w:rsid w:val="000F21C7"/>
    <w:rsid w:val="000F2B50"/>
    <w:rsid w:val="000F5E08"/>
    <w:rsid w:val="000F6AB5"/>
    <w:rsid w:val="000F7E72"/>
    <w:rsid w:val="00101EC9"/>
    <w:rsid w:val="0010336F"/>
    <w:rsid w:val="00103B02"/>
    <w:rsid w:val="001118E0"/>
    <w:rsid w:val="00111CDF"/>
    <w:rsid w:val="00113682"/>
    <w:rsid w:val="00122629"/>
    <w:rsid w:val="00130A1A"/>
    <w:rsid w:val="00135060"/>
    <w:rsid w:val="00147AD8"/>
    <w:rsid w:val="001504F9"/>
    <w:rsid w:val="00150D7B"/>
    <w:rsid w:val="001519CB"/>
    <w:rsid w:val="00157638"/>
    <w:rsid w:val="00170783"/>
    <w:rsid w:val="00170FE8"/>
    <w:rsid w:val="00173318"/>
    <w:rsid w:val="00175027"/>
    <w:rsid w:val="00177380"/>
    <w:rsid w:val="001905F9"/>
    <w:rsid w:val="00190718"/>
    <w:rsid w:val="00191F7D"/>
    <w:rsid w:val="00193572"/>
    <w:rsid w:val="001A5FE5"/>
    <w:rsid w:val="001A7AE5"/>
    <w:rsid w:val="001B5E5D"/>
    <w:rsid w:val="001C31AB"/>
    <w:rsid w:val="001C4122"/>
    <w:rsid w:val="001D0DF3"/>
    <w:rsid w:val="001D701C"/>
    <w:rsid w:val="001E18F8"/>
    <w:rsid w:val="001E2506"/>
    <w:rsid w:val="001F0786"/>
    <w:rsid w:val="001F6510"/>
    <w:rsid w:val="001F74D9"/>
    <w:rsid w:val="00202B96"/>
    <w:rsid w:val="002031E1"/>
    <w:rsid w:val="00214B88"/>
    <w:rsid w:val="0022511C"/>
    <w:rsid w:val="00226D26"/>
    <w:rsid w:val="00227C82"/>
    <w:rsid w:val="0024755E"/>
    <w:rsid w:val="00253C36"/>
    <w:rsid w:val="00255E73"/>
    <w:rsid w:val="00265C1D"/>
    <w:rsid w:val="00276820"/>
    <w:rsid w:val="00280CEB"/>
    <w:rsid w:val="00281651"/>
    <w:rsid w:val="00281709"/>
    <w:rsid w:val="0028185D"/>
    <w:rsid w:val="002846AA"/>
    <w:rsid w:val="0028501A"/>
    <w:rsid w:val="002916D7"/>
    <w:rsid w:val="00292194"/>
    <w:rsid w:val="002A0C24"/>
    <w:rsid w:val="002A1DFC"/>
    <w:rsid w:val="002A2B20"/>
    <w:rsid w:val="002A7177"/>
    <w:rsid w:val="002B4475"/>
    <w:rsid w:val="002C1960"/>
    <w:rsid w:val="002D5FDA"/>
    <w:rsid w:val="002F792A"/>
    <w:rsid w:val="00303875"/>
    <w:rsid w:val="003117B6"/>
    <w:rsid w:val="00311C23"/>
    <w:rsid w:val="00313DBA"/>
    <w:rsid w:val="00314B3A"/>
    <w:rsid w:val="00314F75"/>
    <w:rsid w:val="00316B05"/>
    <w:rsid w:val="00321969"/>
    <w:rsid w:val="0032761B"/>
    <w:rsid w:val="00330F32"/>
    <w:rsid w:val="00334958"/>
    <w:rsid w:val="003363E1"/>
    <w:rsid w:val="00337E8F"/>
    <w:rsid w:val="003441C6"/>
    <w:rsid w:val="00347188"/>
    <w:rsid w:val="0035716F"/>
    <w:rsid w:val="003654BF"/>
    <w:rsid w:val="0036566C"/>
    <w:rsid w:val="00366061"/>
    <w:rsid w:val="00375126"/>
    <w:rsid w:val="00377B9E"/>
    <w:rsid w:val="00390B14"/>
    <w:rsid w:val="00395479"/>
    <w:rsid w:val="00397AC0"/>
    <w:rsid w:val="003A51C5"/>
    <w:rsid w:val="003A6528"/>
    <w:rsid w:val="003A77DD"/>
    <w:rsid w:val="003B0048"/>
    <w:rsid w:val="003C4385"/>
    <w:rsid w:val="003E01C8"/>
    <w:rsid w:val="003F22D4"/>
    <w:rsid w:val="004003FE"/>
    <w:rsid w:val="00402535"/>
    <w:rsid w:val="004058A8"/>
    <w:rsid w:val="0041018F"/>
    <w:rsid w:val="00417378"/>
    <w:rsid w:val="004238D6"/>
    <w:rsid w:val="00425AA1"/>
    <w:rsid w:val="004318A5"/>
    <w:rsid w:val="0043231C"/>
    <w:rsid w:val="0044613E"/>
    <w:rsid w:val="004465BC"/>
    <w:rsid w:val="004517E2"/>
    <w:rsid w:val="004547BF"/>
    <w:rsid w:val="0045591D"/>
    <w:rsid w:val="00456EA0"/>
    <w:rsid w:val="0046125D"/>
    <w:rsid w:val="00466F16"/>
    <w:rsid w:val="00471995"/>
    <w:rsid w:val="004837C2"/>
    <w:rsid w:val="004A0A36"/>
    <w:rsid w:val="004A286F"/>
    <w:rsid w:val="004A7EA2"/>
    <w:rsid w:val="004B33D0"/>
    <w:rsid w:val="004B378D"/>
    <w:rsid w:val="004B3CAE"/>
    <w:rsid w:val="004C4D02"/>
    <w:rsid w:val="004D20C1"/>
    <w:rsid w:val="004D6994"/>
    <w:rsid w:val="004E7898"/>
    <w:rsid w:val="004E7D24"/>
    <w:rsid w:val="004F5C8F"/>
    <w:rsid w:val="004F6926"/>
    <w:rsid w:val="00511BB5"/>
    <w:rsid w:val="00511E9E"/>
    <w:rsid w:val="00514F62"/>
    <w:rsid w:val="0051693A"/>
    <w:rsid w:val="00523EF6"/>
    <w:rsid w:val="005254E3"/>
    <w:rsid w:val="00526EE2"/>
    <w:rsid w:val="0053543D"/>
    <w:rsid w:val="00542CDA"/>
    <w:rsid w:val="00554F32"/>
    <w:rsid w:val="00564D56"/>
    <w:rsid w:val="005657E4"/>
    <w:rsid w:val="005670C2"/>
    <w:rsid w:val="0056793C"/>
    <w:rsid w:val="00575AE0"/>
    <w:rsid w:val="005813F0"/>
    <w:rsid w:val="0058764A"/>
    <w:rsid w:val="005932D6"/>
    <w:rsid w:val="00594600"/>
    <w:rsid w:val="005978CF"/>
    <w:rsid w:val="005A0DF9"/>
    <w:rsid w:val="005A4440"/>
    <w:rsid w:val="005A582B"/>
    <w:rsid w:val="005A6F7F"/>
    <w:rsid w:val="005B10FF"/>
    <w:rsid w:val="005B48C2"/>
    <w:rsid w:val="005C04F3"/>
    <w:rsid w:val="005C181C"/>
    <w:rsid w:val="005C2A63"/>
    <w:rsid w:val="005C7890"/>
    <w:rsid w:val="005C7F83"/>
    <w:rsid w:val="005D64A2"/>
    <w:rsid w:val="005F2877"/>
    <w:rsid w:val="005F3C72"/>
    <w:rsid w:val="005F5C03"/>
    <w:rsid w:val="006144D9"/>
    <w:rsid w:val="00616A71"/>
    <w:rsid w:val="006279A6"/>
    <w:rsid w:val="00651D05"/>
    <w:rsid w:val="00652C4A"/>
    <w:rsid w:val="00653694"/>
    <w:rsid w:val="00654983"/>
    <w:rsid w:val="00657F9C"/>
    <w:rsid w:val="00661DD6"/>
    <w:rsid w:val="0066629C"/>
    <w:rsid w:val="0067060A"/>
    <w:rsid w:val="00670B59"/>
    <w:rsid w:val="006717B1"/>
    <w:rsid w:val="006766F2"/>
    <w:rsid w:val="00680316"/>
    <w:rsid w:val="00682247"/>
    <w:rsid w:val="00685A30"/>
    <w:rsid w:val="006940FF"/>
    <w:rsid w:val="006A02BB"/>
    <w:rsid w:val="006A4C5A"/>
    <w:rsid w:val="006A797E"/>
    <w:rsid w:val="006D066D"/>
    <w:rsid w:val="006D4E58"/>
    <w:rsid w:val="006E230A"/>
    <w:rsid w:val="006E4611"/>
    <w:rsid w:val="006E4FDB"/>
    <w:rsid w:val="006F0A2A"/>
    <w:rsid w:val="00713CA1"/>
    <w:rsid w:val="007166D2"/>
    <w:rsid w:val="00716F2F"/>
    <w:rsid w:val="007172BB"/>
    <w:rsid w:val="00723E14"/>
    <w:rsid w:val="007334FC"/>
    <w:rsid w:val="00735823"/>
    <w:rsid w:val="00740B3B"/>
    <w:rsid w:val="00742FF9"/>
    <w:rsid w:val="00750F5A"/>
    <w:rsid w:val="007623D7"/>
    <w:rsid w:val="0076272F"/>
    <w:rsid w:val="0077266D"/>
    <w:rsid w:val="007803A6"/>
    <w:rsid w:val="00790BAF"/>
    <w:rsid w:val="00796F18"/>
    <w:rsid w:val="0079789C"/>
    <w:rsid w:val="007978F8"/>
    <w:rsid w:val="007A4A38"/>
    <w:rsid w:val="007C0F2E"/>
    <w:rsid w:val="007C57C3"/>
    <w:rsid w:val="007D66DC"/>
    <w:rsid w:val="007E0305"/>
    <w:rsid w:val="007F0F1E"/>
    <w:rsid w:val="007F1CAB"/>
    <w:rsid w:val="00806366"/>
    <w:rsid w:val="008073E4"/>
    <w:rsid w:val="00815DFD"/>
    <w:rsid w:val="008171E0"/>
    <w:rsid w:val="00823D7B"/>
    <w:rsid w:val="00833F00"/>
    <w:rsid w:val="008407DC"/>
    <w:rsid w:val="00851423"/>
    <w:rsid w:val="008568D4"/>
    <w:rsid w:val="00860E0A"/>
    <w:rsid w:val="008633D1"/>
    <w:rsid w:val="00864A70"/>
    <w:rsid w:val="008715FD"/>
    <w:rsid w:val="00882DE0"/>
    <w:rsid w:val="008858C3"/>
    <w:rsid w:val="00890874"/>
    <w:rsid w:val="0089112A"/>
    <w:rsid w:val="00896764"/>
    <w:rsid w:val="008A5E5A"/>
    <w:rsid w:val="008B4B3A"/>
    <w:rsid w:val="008B64C6"/>
    <w:rsid w:val="008C396E"/>
    <w:rsid w:val="008D6D7F"/>
    <w:rsid w:val="008E1E2C"/>
    <w:rsid w:val="008E583A"/>
    <w:rsid w:val="008F5757"/>
    <w:rsid w:val="00906C90"/>
    <w:rsid w:val="00912AED"/>
    <w:rsid w:val="00915790"/>
    <w:rsid w:val="0092229F"/>
    <w:rsid w:val="00922E80"/>
    <w:rsid w:val="00935D7F"/>
    <w:rsid w:val="00943979"/>
    <w:rsid w:val="00945B23"/>
    <w:rsid w:val="00965F7C"/>
    <w:rsid w:val="009675D9"/>
    <w:rsid w:val="00967D22"/>
    <w:rsid w:val="009762CC"/>
    <w:rsid w:val="00977AF5"/>
    <w:rsid w:val="0098016E"/>
    <w:rsid w:val="009816CA"/>
    <w:rsid w:val="00981BFF"/>
    <w:rsid w:val="00983A33"/>
    <w:rsid w:val="00984648"/>
    <w:rsid w:val="00985A80"/>
    <w:rsid w:val="00992815"/>
    <w:rsid w:val="00997058"/>
    <w:rsid w:val="00997C18"/>
    <w:rsid w:val="009A0FAA"/>
    <w:rsid w:val="009A1D4E"/>
    <w:rsid w:val="009A3168"/>
    <w:rsid w:val="009B09D9"/>
    <w:rsid w:val="009B3473"/>
    <w:rsid w:val="009B4230"/>
    <w:rsid w:val="009C11BA"/>
    <w:rsid w:val="009D08A7"/>
    <w:rsid w:val="009D211F"/>
    <w:rsid w:val="009D3A04"/>
    <w:rsid w:val="009D4FE9"/>
    <w:rsid w:val="009E1F04"/>
    <w:rsid w:val="00A12520"/>
    <w:rsid w:val="00A12A5D"/>
    <w:rsid w:val="00A21A47"/>
    <w:rsid w:val="00A23AAE"/>
    <w:rsid w:val="00A23BDB"/>
    <w:rsid w:val="00A2627C"/>
    <w:rsid w:val="00A2777C"/>
    <w:rsid w:val="00A32208"/>
    <w:rsid w:val="00A33C12"/>
    <w:rsid w:val="00A37DAD"/>
    <w:rsid w:val="00A43F35"/>
    <w:rsid w:val="00A6048F"/>
    <w:rsid w:val="00A61F68"/>
    <w:rsid w:val="00A61FD7"/>
    <w:rsid w:val="00A6523E"/>
    <w:rsid w:val="00A70D9A"/>
    <w:rsid w:val="00A72603"/>
    <w:rsid w:val="00A759A2"/>
    <w:rsid w:val="00A830BD"/>
    <w:rsid w:val="00A85D95"/>
    <w:rsid w:val="00AA075B"/>
    <w:rsid w:val="00AA1A13"/>
    <w:rsid w:val="00AA5A08"/>
    <w:rsid w:val="00AB0D2E"/>
    <w:rsid w:val="00AB1E15"/>
    <w:rsid w:val="00AB425F"/>
    <w:rsid w:val="00AB7720"/>
    <w:rsid w:val="00AC3C59"/>
    <w:rsid w:val="00AC5F4D"/>
    <w:rsid w:val="00AD7C0B"/>
    <w:rsid w:val="00AE06CB"/>
    <w:rsid w:val="00AE26A5"/>
    <w:rsid w:val="00AE421C"/>
    <w:rsid w:val="00AF2C29"/>
    <w:rsid w:val="00AF4CEA"/>
    <w:rsid w:val="00AF57C2"/>
    <w:rsid w:val="00AF7E55"/>
    <w:rsid w:val="00B04D9E"/>
    <w:rsid w:val="00B111B5"/>
    <w:rsid w:val="00B13BD4"/>
    <w:rsid w:val="00B22AFA"/>
    <w:rsid w:val="00B25B0D"/>
    <w:rsid w:val="00B34B64"/>
    <w:rsid w:val="00B363E4"/>
    <w:rsid w:val="00B40CB5"/>
    <w:rsid w:val="00B470E4"/>
    <w:rsid w:val="00B4788D"/>
    <w:rsid w:val="00B558AA"/>
    <w:rsid w:val="00B6267B"/>
    <w:rsid w:val="00B65DAB"/>
    <w:rsid w:val="00B804AF"/>
    <w:rsid w:val="00B8407B"/>
    <w:rsid w:val="00B94A7E"/>
    <w:rsid w:val="00BA5479"/>
    <w:rsid w:val="00BA54AE"/>
    <w:rsid w:val="00BA5C5C"/>
    <w:rsid w:val="00BB07F6"/>
    <w:rsid w:val="00BC14AE"/>
    <w:rsid w:val="00BC3FFD"/>
    <w:rsid w:val="00BC6D83"/>
    <w:rsid w:val="00BD27E0"/>
    <w:rsid w:val="00BD39C5"/>
    <w:rsid w:val="00BD6DEE"/>
    <w:rsid w:val="00BD74CE"/>
    <w:rsid w:val="00BE44CD"/>
    <w:rsid w:val="00BE5406"/>
    <w:rsid w:val="00BF0C53"/>
    <w:rsid w:val="00BF4245"/>
    <w:rsid w:val="00BF4CF8"/>
    <w:rsid w:val="00C070BA"/>
    <w:rsid w:val="00C074FA"/>
    <w:rsid w:val="00C21E0F"/>
    <w:rsid w:val="00C22DE0"/>
    <w:rsid w:val="00C275B3"/>
    <w:rsid w:val="00C33043"/>
    <w:rsid w:val="00C368A3"/>
    <w:rsid w:val="00C43D55"/>
    <w:rsid w:val="00C45129"/>
    <w:rsid w:val="00C4553B"/>
    <w:rsid w:val="00C604A5"/>
    <w:rsid w:val="00C60DEB"/>
    <w:rsid w:val="00C6189B"/>
    <w:rsid w:val="00C62691"/>
    <w:rsid w:val="00C656F0"/>
    <w:rsid w:val="00C74393"/>
    <w:rsid w:val="00C80601"/>
    <w:rsid w:val="00C914A5"/>
    <w:rsid w:val="00CA7941"/>
    <w:rsid w:val="00CC109C"/>
    <w:rsid w:val="00CC132D"/>
    <w:rsid w:val="00CC3204"/>
    <w:rsid w:val="00CD255B"/>
    <w:rsid w:val="00CD51EC"/>
    <w:rsid w:val="00CD57C0"/>
    <w:rsid w:val="00CD7388"/>
    <w:rsid w:val="00CF05D9"/>
    <w:rsid w:val="00CF1886"/>
    <w:rsid w:val="00CF61EC"/>
    <w:rsid w:val="00D06C48"/>
    <w:rsid w:val="00D12B40"/>
    <w:rsid w:val="00D1686C"/>
    <w:rsid w:val="00D308C7"/>
    <w:rsid w:val="00D351CC"/>
    <w:rsid w:val="00D36DCA"/>
    <w:rsid w:val="00D46FC9"/>
    <w:rsid w:val="00D5106D"/>
    <w:rsid w:val="00D55CC0"/>
    <w:rsid w:val="00D82A2C"/>
    <w:rsid w:val="00D850D9"/>
    <w:rsid w:val="00D87412"/>
    <w:rsid w:val="00D931A1"/>
    <w:rsid w:val="00D95589"/>
    <w:rsid w:val="00DC1A8C"/>
    <w:rsid w:val="00DC3B31"/>
    <w:rsid w:val="00DE35A9"/>
    <w:rsid w:val="00DE4C70"/>
    <w:rsid w:val="00DE7AF8"/>
    <w:rsid w:val="00DF15F1"/>
    <w:rsid w:val="00DF30A1"/>
    <w:rsid w:val="00E02F47"/>
    <w:rsid w:val="00E048DF"/>
    <w:rsid w:val="00E21437"/>
    <w:rsid w:val="00E21F82"/>
    <w:rsid w:val="00E2237B"/>
    <w:rsid w:val="00E23976"/>
    <w:rsid w:val="00E30486"/>
    <w:rsid w:val="00E4319F"/>
    <w:rsid w:val="00E44BFA"/>
    <w:rsid w:val="00E5042E"/>
    <w:rsid w:val="00E54F75"/>
    <w:rsid w:val="00E65DF9"/>
    <w:rsid w:val="00E6629D"/>
    <w:rsid w:val="00E67488"/>
    <w:rsid w:val="00E7249E"/>
    <w:rsid w:val="00E72F7E"/>
    <w:rsid w:val="00E762DF"/>
    <w:rsid w:val="00E7715E"/>
    <w:rsid w:val="00E83BFD"/>
    <w:rsid w:val="00E840C0"/>
    <w:rsid w:val="00EA1D18"/>
    <w:rsid w:val="00EA59DD"/>
    <w:rsid w:val="00EB1A94"/>
    <w:rsid w:val="00EB4ACD"/>
    <w:rsid w:val="00EC1830"/>
    <w:rsid w:val="00EC65A0"/>
    <w:rsid w:val="00EC789F"/>
    <w:rsid w:val="00ED5DE0"/>
    <w:rsid w:val="00EE04AC"/>
    <w:rsid w:val="00EE5CB4"/>
    <w:rsid w:val="00EF42E7"/>
    <w:rsid w:val="00EF4F5C"/>
    <w:rsid w:val="00F06392"/>
    <w:rsid w:val="00F109BF"/>
    <w:rsid w:val="00F11C4A"/>
    <w:rsid w:val="00F15539"/>
    <w:rsid w:val="00F17474"/>
    <w:rsid w:val="00F23ED8"/>
    <w:rsid w:val="00F25B41"/>
    <w:rsid w:val="00F25D7D"/>
    <w:rsid w:val="00F30271"/>
    <w:rsid w:val="00F34F30"/>
    <w:rsid w:val="00F44175"/>
    <w:rsid w:val="00F530FE"/>
    <w:rsid w:val="00F55A2F"/>
    <w:rsid w:val="00F57D21"/>
    <w:rsid w:val="00F72D31"/>
    <w:rsid w:val="00F75762"/>
    <w:rsid w:val="00F87348"/>
    <w:rsid w:val="00F91AEE"/>
    <w:rsid w:val="00F95579"/>
    <w:rsid w:val="00FA0C6E"/>
    <w:rsid w:val="00FC3ECA"/>
    <w:rsid w:val="00FC63CC"/>
    <w:rsid w:val="00FC6FF6"/>
    <w:rsid w:val="00FD0274"/>
    <w:rsid w:val="00FE1E3A"/>
    <w:rsid w:val="00FF51CB"/>
    <w:rsid w:val="00FF5BBF"/>
    <w:rsid w:val="00FF6DA9"/>
    <w:rsid w:val="00FF71D5"/>
    <w:rsid w:val="00FF76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BE42EB9"/>
  <w15:docId w15:val="{557A2C7E-B45B-442D-8018-BF5D7E5B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5B0D"/>
    <w:pPr>
      <w:spacing w:after="0" w:line="360" w:lineRule="atLeast"/>
    </w:pPr>
    <w:rPr>
      <w:rFonts w:ascii="Verdana" w:hAnsi="Verdana"/>
      <w:sz w:val="21"/>
    </w:rPr>
  </w:style>
  <w:style w:type="paragraph" w:styleId="Kop1">
    <w:name w:val="heading 1"/>
    <w:basedOn w:val="Standaard"/>
    <w:next w:val="Standaard"/>
    <w:link w:val="Kop1Char"/>
    <w:uiPriority w:val="9"/>
    <w:semiHidden/>
    <w:rsid w:val="00AE26A5"/>
    <w:pPr>
      <w:keepNext/>
      <w:keepLines/>
      <w:outlineLvl w:val="0"/>
    </w:pPr>
    <w:rPr>
      <w:rFonts w:eastAsiaTheme="majorEastAsia" w:cstheme="majorBidi"/>
      <w:bCs/>
      <w:color w:val="1226AA"/>
      <w:sz w:val="48"/>
      <w:szCs w:val="28"/>
    </w:rPr>
  </w:style>
  <w:style w:type="paragraph" w:styleId="Kop2">
    <w:name w:val="heading 2"/>
    <w:basedOn w:val="Standaard"/>
    <w:next w:val="Standaard"/>
    <w:link w:val="Kop2Char"/>
    <w:uiPriority w:val="9"/>
    <w:semiHidden/>
    <w:qFormat/>
    <w:rsid w:val="00AE26A5"/>
    <w:pPr>
      <w:keepNext/>
      <w:keepLines/>
      <w:outlineLvl w:val="1"/>
    </w:pPr>
    <w:rPr>
      <w:rFonts w:eastAsiaTheme="majorEastAsia" w:cstheme="majorBidi"/>
      <w:bCs/>
      <w:color w:val="1226AA"/>
      <w:sz w:val="36"/>
      <w:szCs w:val="26"/>
    </w:rPr>
  </w:style>
  <w:style w:type="paragraph" w:styleId="Kop3">
    <w:name w:val="heading 3"/>
    <w:basedOn w:val="Standaard"/>
    <w:next w:val="Standaard"/>
    <w:link w:val="Kop3Char"/>
    <w:uiPriority w:val="9"/>
    <w:semiHidden/>
    <w:rsid w:val="00AA075B"/>
    <w:pPr>
      <w:keepNext/>
      <w:keepLines/>
      <w:shd w:val="clear" w:color="auto" w:fill="1226AA"/>
      <w:spacing w:line="240" w:lineRule="exact"/>
      <w:outlineLvl w:val="2"/>
    </w:pPr>
    <w:rPr>
      <w:rFonts w:asciiTheme="majorHAnsi" w:eastAsiaTheme="majorEastAsia" w:hAnsiTheme="majorHAnsi" w:cstheme="majorBidi"/>
      <w:bCs/>
      <w:caps/>
      <w:color w:val="FFFFFF" w:themeColor="background1"/>
      <w:sz w:val="20"/>
    </w:rPr>
  </w:style>
  <w:style w:type="paragraph" w:styleId="Kop4">
    <w:name w:val="heading 4"/>
    <w:basedOn w:val="Standaard"/>
    <w:next w:val="Standaard"/>
    <w:link w:val="Kop4Char"/>
    <w:uiPriority w:val="9"/>
    <w:semiHidden/>
    <w:rsid w:val="00E30486"/>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rsid w:val="003C4385"/>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rsid w:val="0067060A"/>
    <w:pPr>
      <w:keepNext/>
      <w:keepLines/>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qFormat/>
    <w:rsid w:val="0067060A"/>
    <w:pPr>
      <w:keepNext/>
      <w:keepLines/>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qFormat/>
    <w:rsid w:val="0067060A"/>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qFormat/>
    <w:rsid w:val="0067060A"/>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semiHidden/>
    <w:rsid w:val="008D6D7F"/>
    <w:rPr>
      <w:rFonts w:ascii="Verdana" w:eastAsiaTheme="majorEastAsia" w:hAnsi="Verdana" w:cstheme="majorBidi"/>
      <w:bCs/>
      <w:color w:val="1226AA"/>
      <w:sz w:val="48"/>
      <w:szCs w:val="28"/>
    </w:rPr>
  </w:style>
  <w:style w:type="character" w:customStyle="1" w:styleId="Kop5Char">
    <w:name w:val="Kop 5 Char"/>
    <w:basedOn w:val="Standaardalinea-lettertype"/>
    <w:link w:val="Kop5"/>
    <w:uiPriority w:val="9"/>
    <w:semiHidden/>
    <w:rsid w:val="008D6D7F"/>
    <w:rPr>
      <w:rFonts w:asciiTheme="majorHAnsi" w:eastAsiaTheme="majorEastAsia" w:hAnsiTheme="majorHAnsi" w:cstheme="majorBidi"/>
      <w:color w:val="243F60" w:themeColor="accent1" w:themeShade="7F"/>
      <w:sz w:val="21"/>
    </w:rPr>
  </w:style>
  <w:style w:type="paragraph" w:styleId="Ballontekst">
    <w:name w:val="Balloon Text"/>
    <w:basedOn w:val="Standaard"/>
    <w:link w:val="BallontekstChar"/>
    <w:uiPriority w:val="99"/>
    <w:semiHidden/>
    <w:unhideWhenUsed/>
    <w:rsid w:val="00FF761C"/>
    <w:pPr>
      <w:spacing w:line="240" w:lineRule="auto"/>
    </w:pPr>
    <w:rPr>
      <w:rFonts w:ascii="Tahoma" w:hAnsi="Tahoma" w:cs="Tahoma"/>
      <w:sz w:val="16"/>
      <w:szCs w:val="16"/>
    </w:rPr>
  </w:style>
  <w:style w:type="character" w:customStyle="1" w:styleId="Kop2Char">
    <w:name w:val="Kop 2 Char"/>
    <w:basedOn w:val="Standaardalinea-lettertype"/>
    <w:link w:val="Kop2"/>
    <w:uiPriority w:val="9"/>
    <w:semiHidden/>
    <w:rsid w:val="008D6D7F"/>
    <w:rPr>
      <w:rFonts w:ascii="Verdana" w:eastAsiaTheme="majorEastAsia" w:hAnsi="Verdana" w:cstheme="majorBidi"/>
      <w:bCs/>
      <w:color w:val="1226AA"/>
      <w:sz w:val="36"/>
      <w:szCs w:val="26"/>
    </w:rPr>
  </w:style>
  <w:style w:type="character" w:customStyle="1" w:styleId="Kop3Char">
    <w:name w:val="Kop 3 Char"/>
    <w:basedOn w:val="Standaardalinea-lettertype"/>
    <w:link w:val="Kop3"/>
    <w:uiPriority w:val="9"/>
    <w:semiHidden/>
    <w:rsid w:val="008D6D7F"/>
    <w:rPr>
      <w:rFonts w:asciiTheme="majorHAnsi" w:eastAsiaTheme="majorEastAsia" w:hAnsiTheme="majorHAnsi" w:cstheme="majorBidi"/>
      <w:bCs/>
      <w:caps/>
      <w:color w:val="FFFFFF" w:themeColor="background1"/>
      <w:sz w:val="20"/>
      <w:shd w:val="clear" w:color="auto" w:fill="1226AA"/>
    </w:rPr>
  </w:style>
  <w:style w:type="character" w:customStyle="1" w:styleId="Kop4Char">
    <w:name w:val="Kop 4 Char"/>
    <w:basedOn w:val="Standaardalinea-lettertype"/>
    <w:link w:val="Kop4"/>
    <w:uiPriority w:val="9"/>
    <w:semiHidden/>
    <w:rsid w:val="008D6D7F"/>
    <w:rPr>
      <w:rFonts w:asciiTheme="majorHAnsi" w:eastAsiaTheme="majorEastAsia" w:hAnsiTheme="majorHAnsi" w:cstheme="majorBidi"/>
      <w:b/>
      <w:bCs/>
      <w:i/>
      <w:iCs/>
      <w:color w:val="4F81BD" w:themeColor="accent1"/>
      <w:sz w:val="21"/>
    </w:rPr>
  </w:style>
  <w:style w:type="character" w:customStyle="1" w:styleId="BallontekstChar">
    <w:name w:val="Ballontekst Char"/>
    <w:basedOn w:val="Standaardalinea-lettertype"/>
    <w:link w:val="Ballontekst"/>
    <w:uiPriority w:val="99"/>
    <w:semiHidden/>
    <w:rsid w:val="00FF761C"/>
    <w:rPr>
      <w:rFonts w:ascii="Tahoma" w:hAnsi="Tahoma" w:cs="Tahoma"/>
      <w:sz w:val="16"/>
      <w:szCs w:val="16"/>
    </w:rPr>
  </w:style>
  <w:style w:type="table" w:styleId="Tabelraster">
    <w:name w:val="Table Grid"/>
    <w:basedOn w:val="Standaardtabel"/>
    <w:uiPriority w:val="59"/>
    <w:rsid w:val="00B3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57F9C"/>
    <w:rPr>
      <w:color w:val="0000FF" w:themeColor="hyperlink"/>
      <w:u w:val="single"/>
    </w:rPr>
  </w:style>
  <w:style w:type="paragraph" w:styleId="Normaalweb">
    <w:name w:val="Normal (Web)"/>
    <w:basedOn w:val="Standaard"/>
    <w:uiPriority w:val="99"/>
    <w:unhideWhenUsed/>
    <w:rsid w:val="007A4A3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101D9"/>
    <w:pPr>
      <w:ind w:left="720"/>
      <w:contextualSpacing/>
    </w:pPr>
  </w:style>
  <w:style w:type="character" w:styleId="Onopgelostemelding">
    <w:name w:val="Unresolved Mention"/>
    <w:basedOn w:val="Standaardalinea-lettertype"/>
    <w:uiPriority w:val="99"/>
    <w:semiHidden/>
    <w:unhideWhenUsed/>
    <w:rsid w:val="001B5E5D"/>
    <w:rPr>
      <w:color w:val="605E5C"/>
      <w:shd w:val="clear" w:color="auto" w:fill="E1DFDD"/>
    </w:rPr>
  </w:style>
  <w:style w:type="character" w:customStyle="1" w:styleId="btntext">
    <w:name w:val="btn__text"/>
    <w:basedOn w:val="Standaardalinea-lettertype"/>
    <w:rsid w:val="001B5E5D"/>
  </w:style>
  <w:style w:type="paragraph" w:styleId="Aanhef">
    <w:name w:val="Salutation"/>
    <w:basedOn w:val="Standaard"/>
    <w:next w:val="Standaard"/>
    <w:link w:val="AanhefChar"/>
    <w:uiPriority w:val="99"/>
    <w:semiHidden/>
    <w:unhideWhenUsed/>
    <w:rsid w:val="0067060A"/>
  </w:style>
  <w:style w:type="character" w:customStyle="1" w:styleId="AanhefChar">
    <w:name w:val="Aanhef Char"/>
    <w:basedOn w:val="Standaardalinea-lettertype"/>
    <w:link w:val="Aanhef"/>
    <w:uiPriority w:val="99"/>
    <w:semiHidden/>
    <w:rsid w:val="0067060A"/>
    <w:rPr>
      <w:rFonts w:ascii="Verdana" w:hAnsi="Verdana"/>
      <w:sz w:val="21"/>
    </w:rPr>
  </w:style>
  <w:style w:type="paragraph" w:styleId="Adresenvelop">
    <w:name w:val="envelope address"/>
    <w:basedOn w:val="Standaard"/>
    <w:uiPriority w:val="99"/>
    <w:semiHidden/>
    <w:unhideWhenUsed/>
    <w:rsid w:val="0067060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67060A"/>
    <w:pPr>
      <w:spacing w:line="240" w:lineRule="auto"/>
      <w:ind w:left="4252"/>
    </w:pPr>
  </w:style>
  <w:style w:type="character" w:customStyle="1" w:styleId="AfsluitingChar">
    <w:name w:val="Afsluiting Char"/>
    <w:basedOn w:val="Standaardalinea-lettertype"/>
    <w:link w:val="Afsluiting"/>
    <w:uiPriority w:val="99"/>
    <w:semiHidden/>
    <w:rsid w:val="0067060A"/>
    <w:rPr>
      <w:rFonts w:ascii="Verdana" w:hAnsi="Verdana"/>
      <w:sz w:val="21"/>
    </w:rPr>
  </w:style>
  <w:style w:type="paragraph" w:styleId="Afzender">
    <w:name w:val="envelope return"/>
    <w:basedOn w:val="Standaard"/>
    <w:uiPriority w:val="99"/>
    <w:semiHidden/>
    <w:unhideWhenUsed/>
    <w:rsid w:val="0067060A"/>
    <w:pPr>
      <w:spacing w:line="240" w:lineRule="auto"/>
    </w:pPr>
    <w:rPr>
      <w:rFonts w:asciiTheme="majorHAnsi" w:eastAsiaTheme="majorEastAsia" w:hAnsiTheme="majorHAnsi" w:cstheme="majorBidi"/>
      <w:sz w:val="20"/>
      <w:szCs w:val="20"/>
    </w:rPr>
  </w:style>
  <w:style w:type="paragraph" w:styleId="Berichtkop">
    <w:name w:val="Message Header"/>
    <w:basedOn w:val="Standaard"/>
    <w:link w:val="BerichtkopChar"/>
    <w:uiPriority w:val="99"/>
    <w:semiHidden/>
    <w:unhideWhenUsed/>
    <w:rsid w:val="0067060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67060A"/>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semiHidden/>
    <w:unhideWhenUsed/>
    <w:rsid w:val="0067060A"/>
  </w:style>
  <w:style w:type="paragraph" w:styleId="Bijschrift">
    <w:name w:val="caption"/>
    <w:basedOn w:val="Standaard"/>
    <w:next w:val="Standaard"/>
    <w:uiPriority w:val="35"/>
    <w:semiHidden/>
    <w:unhideWhenUsed/>
    <w:qFormat/>
    <w:rsid w:val="0067060A"/>
    <w:pPr>
      <w:spacing w:after="200" w:line="240" w:lineRule="auto"/>
    </w:pPr>
    <w:rPr>
      <w:i/>
      <w:iCs/>
      <w:color w:val="1F497D" w:themeColor="text2"/>
      <w:sz w:val="18"/>
      <w:szCs w:val="18"/>
    </w:rPr>
  </w:style>
  <w:style w:type="paragraph" w:styleId="Bloktekst">
    <w:name w:val="Block Text"/>
    <w:basedOn w:val="Standaard"/>
    <w:uiPriority w:val="99"/>
    <w:semiHidden/>
    <w:unhideWhenUsed/>
    <w:rsid w:val="006706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ronvermelding">
    <w:name w:val="table of authorities"/>
    <w:basedOn w:val="Standaard"/>
    <w:next w:val="Standaard"/>
    <w:uiPriority w:val="99"/>
    <w:semiHidden/>
    <w:unhideWhenUsed/>
    <w:rsid w:val="0067060A"/>
    <w:pPr>
      <w:ind w:left="210" w:hanging="210"/>
    </w:pPr>
  </w:style>
  <w:style w:type="paragraph" w:styleId="Citaat">
    <w:name w:val="Quote"/>
    <w:basedOn w:val="Standaard"/>
    <w:next w:val="Standaard"/>
    <w:link w:val="CitaatChar"/>
    <w:uiPriority w:val="29"/>
    <w:qFormat/>
    <w:rsid w:val="0067060A"/>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7060A"/>
    <w:rPr>
      <w:rFonts w:ascii="Verdana" w:hAnsi="Verdana"/>
      <w:i/>
      <w:iCs/>
      <w:color w:val="404040" w:themeColor="text1" w:themeTint="BF"/>
      <w:sz w:val="21"/>
    </w:rPr>
  </w:style>
  <w:style w:type="paragraph" w:styleId="Datum">
    <w:name w:val="Date"/>
    <w:basedOn w:val="Standaard"/>
    <w:next w:val="Standaard"/>
    <w:link w:val="DatumChar"/>
    <w:uiPriority w:val="99"/>
    <w:semiHidden/>
    <w:unhideWhenUsed/>
    <w:rsid w:val="0067060A"/>
  </w:style>
  <w:style w:type="character" w:customStyle="1" w:styleId="DatumChar">
    <w:name w:val="Datum Char"/>
    <w:basedOn w:val="Standaardalinea-lettertype"/>
    <w:link w:val="Datum"/>
    <w:uiPriority w:val="99"/>
    <w:semiHidden/>
    <w:rsid w:val="0067060A"/>
    <w:rPr>
      <w:rFonts w:ascii="Verdana" w:hAnsi="Verdana"/>
      <w:sz w:val="21"/>
    </w:rPr>
  </w:style>
  <w:style w:type="paragraph" w:styleId="Documentstructuur">
    <w:name w:val="Document Map"/>
    <w:basedOn w:val="Standaard"/>
    <w:link w:val="DocumentstructuurChar"/>
    <w:uiPriority w:val="99"/>
    <w:semiHidden/>
    <w:unhideWhenUsed/>
    <w:rsid w:val="0067060A"/>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67060A"/>
    <w:rPr>
      <w:rFonts w:ascii="Segoe UI" w:hAnsi="Segoe UI" w:cs="Segoe UI"/>
      <w:sz w:val="16"/>
      <w:szCs w:val="16"/>
    </w:rPr>
  </w:style>
  <w:style w:type="paragraph" w:styleId="Duidelijkcitaat">
    <w:name w:val="Intense Quote"/>
    <w:basedOn w:val="Standaard"/>
    <w:next w:val="Standaard"/>
    <w:link w:val="DuidelijkcitaatChar"/>
    <w:uiPriority w:val="30"/>
    <w:qFormat/>
    <w:rsid w:val="006706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67060A"/>
    <w:rPr>
      <w:rFonts w:ascii="Verdana" w:hAnsi="Verdana"/>
      <w:i/>
      <w:iCs/>
      <w:color w:val="4F81BD" w:themeColor="accent1"/>
      <w:sz w:val="21"/>
    </w:rPr>
  </w:style>
  <w:style w:type="paragraph" w:styleId="Eindnoottekst">
    <w:name w:val="endnote text"/>
    <w:basedOn w:val="Standaard"/>
    <w:link w:val="EindnoottekstChar"/>
    <w:uiPriority w:val="99"/>
    <w:semiHidden/>
    <w:unhideWhenUsed/>
    <w:rsid w:val="0067060A"/>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67060A"/>
    <w:rPr>
      <w:rFonts w:ascii="Verdana" w:hAnsi="Verdana"/>
      <w:sz w:val="20"/>
      <w:szCs w:val="20"/>
    </w:rPr>
  </w:style>
  <w:style w:type="paragraph" w:styleId="E-mailhandtekening">
    <w:name w:val="E-mail Signature"/>
    <w:basedOn w:val="Standaard"/>
    <w:link w:val="E-mailhandtekeningChar"/>
    <w:uiPriority w:val="99"/>
    <w:semiHidden/>
    <w:unhideWhenUsed/>
    <w:rsid w:val="0067060A"/>
    <w:pPr>
      <w:spacing w:line="240" w:lineRule="auto"/>
    </w:pPr>
  </w:style>
  <w:style w:type="character" w:customStyle="1" w:styleId="E-mailhandtekeningChar">
    <w:name w:val="E-mailhandtekening Char"/>
    <w:basedOn w:val="Standaardalinea-lettertype"/>
    <w:link w:val="E-mailhandtekening"/>
    <w:uiPriority w:val="99"/>
    <w:semiHidden/>
    <w:rsid w:val="0067060A"/>
    <w:rPr>
      <w:rFonts w:ascii="Verdana" w:hAnsi="Verdana"/>
      <w:sz w:val="21"/>
    </w:rPr>
  </w:style>
  <w:style w:type="paragraph" w:styleId="Geenafstand">
    <w:name w:val="No Spacing"/>
    <w:uiPriority w:val="1"/>
    <w:semiHidden/>
    <w:rsid w:val="0067060A"/>
    <w:pPr>
      <w:spacing w:after="0" w:line="240" w:lineRule="auto"/>
    </w:pPr>
    <w:rPr>
      <w:rFonts w:ascii="Verdana" w:hAnsi="Verdana"/>
      <w:sz w:val="21"/>
    </w:rPr>
  </w:style>
  <w:style w:type="paragraph" w:styleId="Handtekening">
    <w:name w:val="Signature"/>
    <w:basedOn w:val="Standaard"/>
    <w:link w:val="HandtekeningChar"/>
    <w:uiPriority w:val="99"/>
    <w:semiHidden/>
    <w:unhideWhenUsed/>
    <w:rsid w:val="0067060A"/>
    <w:pPr>
      <w:spacing w:line="240" w:lineRule="auto"/>
      <w:ind w:left="4252"/>
    </w:pPr>
  </w:style>
  <w:style w:type="character" w:customStyle="1" w:styleId="HandtekeningChar">
    <w:name w:val="Handtekening Char"/>
    <w:basedOn w:val="Standaardalinea-lettertype"/>
    <w:link w:val="Handtekening"/>
    <w:uiPriority w:val="99"/>
    <w:semiHidden/>
    <w:rsid w:val="0067060A"/>
    <w:rPr>
      <w:rFonts w:ascii="Verdana" w:hAnsi="Verdana"/>
      <w:sz w:val="21"/>
    </w:rPr>
  </w:style>
  <w:style w:type="paragraph" w:styleId="HTML-voorafopgemaakt">
    <w:name w:val="HTML Preformatted"/>
    <w:basedOn w:val="Standaard"/>
    <w:link w:val="HTML-voorafopgemaaktChar"/>
    <w:uiPriority w:val="99"/>
    <w:semiHidden/>
    <w:unhideWhenUsed/>
    <w:rsid w:val="0067060A"/>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67060A"/>
    <w:rPr>
      <w:rFonts w:ascii="Consolas" w:hAnsi="Consolas"/>
      <w:sz w:val="20"/>
      <w:szCs w:val="20"/>
    </w:rPr>
  </w:style>
  <w:style w:type="paragraph" w:styleId="HTML-adres">
    <w:name w:val="HTML Address"/>
    <w:basedOn w:val="Standaard"/>
    <w:link w:val="HTML-adresChar"/>
    <w:uiPriority w:val="99"/>
    <w:semiHidden/>
    <w:unhideWhenUsed/>
    <w:rsid w:val="0067060A"/>
    <w:pPr>
      <w:spacing w:line="240" w:lineRule="auto"/>
    </w:pPr>
    <w:rPr>
      <w:i/>
      <w:iCs/>
    </w:rPr>
  </w:style>
  <w:style w:type="character" w:customStyle="1" w:styleId="HTML-adresChar">
    <w:name w:val="HTML-adres Char"/>
    <w:basedOn w:val="Standaardalinea-lettertype"/>
    <w:link w:val="HTML-adres"/>
    <w:uiPriority w:val="99"/>
    <w:semiHidden/>
    <w:rsid w:val="0067060A"/>
    <w:rPr>
      <w:rFonts w:ascii="Verdana" w:hAnsi="Verdana"/>
      <w:i/>
      <w:iCs/>
      <w:sz w:val="21"/>
    </w:rPr>
  </w:style>
  <w:style w:type="paragraph" w:styleId="Index1">
    <w:name w:val="index 1"/>
    <w:basedOn w:val="Standaard"/>
    <w:next w:val="Standaard"/>
    <w:autoRedefine/>
    <w:uiPriority w:val="99"/>
    <w:semiHidden/>
    <w:unhideWhenUsed/>
    <w:rsid w:val="0067060A"/>
    <w:pPr>
      <w:spacing w:line="240" w:lineRule="auto"/>
      <w:ind w:left="210" w:hanging="210"/>
    </w:pPr>
  </w:style>
  <w:style w:type="paragraph" w:styleId="Index2">
    <w:name w:val="index 2"/>
    <w:basedOn w:val="Standaard"/>
    <w:next w:val="Standaard"/>
    <w:autoRedefine/>
    <w:uiPriority w:val="99"/>
    <w:semiHidden/>
    <w:unhideWhenUsed/>
    <w:rsid w:val="0067060A"/>
    <w:pPr>
      <w:spacing w:line="240" w:lineRule="auto"/>
      <w:ind w:left="420" w:hanging="210"/>
    </w:pPr>
  </w:style>
  <w:style w:type="paragraph" w:styleId="Index3">
    <w:name w:val="index 3"/>
    <w:basedOn w:val="Standaard"/>
    <w:next w:val="Standaard"/>
    <w:autoRedefine/>
    <w:uiPriority w:val="99"/>
    <w:semiHidden/>
    <w:unhideWhenUsed/>
    <w:rsid w:val="0067060A"/>
    <w:pPr>
      <w:spacing w:line="240" w:lineRule="auto"/>
      <w:ind w:left="630" w:hanging="210"/>
    </w:pPr>
  </w:style>
  <w:style w:type="paragraph" w:styleId="Index4">
    <w:name w:val="index 4"/>
    <w:basedOn w:val="Standaard"/>
    <w:next w:val="Standaard"/>
    <w:autoRedefine/>
    <w:uiPriority w:val="99"/>
    <w:semiHidden/>
    <w:unhideWhenUsed/>
    <w:rsid w:val="0067060A"/>
    <w:pPr>
      <w:spacing w:line="240" w:lineRule="auto"/>
      <w:ind w:left="840" w:hanging="210"/>
    </w:pPr>
  </w:style>
  <w:style w:type="paragraph" w:styleId="Index5">
    <w:name w:val="index 5"/>
    <w:basedOn w:val="Standaard"/>
    <w:next w:val="Standaard"/>
    <w:autoRedefine/>
    <w:uiPriority w:val="99"/>
    <w:semiHidden/>
    <w:unhideWhenUsed/>
    <w:rsid w:val="0067060A"/>
    <w:pPr>
      <w:spacing w:line="240" w:lineRule="auto"/>
      <w:ind w:left="1050" w:hanging="210"/>
    </w:pPr>
  </w:style>
  <w:style w:type="paragraph" w:styleId="Index6">
    <w:name w:val="index 6"/>
    <w:basedOn w:val="Standaard"/>
    <w:next w:val="Standaard"/>
    <w:autoRedefine/>
    <w:uiPriority w:val="99"/>
    <w:semiHidden/>
    <w:unhideWhenUsed/>
    <w:rsid w:val="0067060A"/>
    <w:pPr>
      <w:spacing w:line="240" w:lineRule="auto"/>
      <w:ind w:left="1260" w:hanging="210"/>
    </w:pPr>
  </w:style>
  <w:style w:type="paragraph" w:styleId="Index7">
    <w:name w:val="index 7"/>
    <w:basedOn w:val="Standaard"/>
    <w:next w:val="Standaard"/>
    <w:autoRedefine/>
    <w:uiPriority w:val="99"/>
    <w:semiHidden/>
    <w:unhideWhenUsed/>
    <w:rsid w:val="0067060A"/>
    <w:pPr>
      <w:spacing w:line="240" w:lineRule="auto"/>
      <w:ind w:left="1470" w:hanging="210"/>
    </w:pPr>
  </w:style>
  <w:style w:type="paragraph" w:styleId="Index8">
    <w:name w:val="index 8"/>
    <w:basedOn w:val="Standaard"/>
    <w:next w:val="Standaard"/>
    <w:autoRedefine/>
    <w:uiPriority w:val="99"/>
    <w:semiHidden/>
    <w:unhideWhenUsed/>
    <w:rsid w:val="0067060A"/>
    <w:pPr>
      <w:spacing w:line="240" w:lineRule="auto"/>
      <w:ind w:left="1680" w:hanging="210"/>
    </w:pPr>
  </w:style>
  <w:style w:type="paragraph" w:styleId="Index9">
    <w:name w:val="index 9"/>
    <w:basedOn w:val="Standaard"/>
    <w:next w:val="Standaard"/>
    <w:autoRedefine/>
    <w:uiPriority w:val="99"/>
    <w:semiHidden/>
    <w:unhideWhenUsed/>
    <w:rsid w:val="0067060A"/>
    <w:pPr>
      <w:spacing w:line="240" w:lineRule="auto"/>
      <w:ind w:left="1890" w:hanging="210"/>
    </w:pPr>
  </w:style>
  <w:style w:type="paragraph" w:styleId="Indexkop">
    <w:name w:val="index heading"/>
    <w:basedOn w:val="Standaard"/>
    <w:next w:val="Index1"/>
    <w:uiPriority w:val="99"/>
    <w:semiHidden/>
    <w:unhideWhenUsed/>
    <w:rsid w:val="0067060A"/>
    <w:rPr>
      <w:rFonts w:asciiTheme="majorHAnsi" w:eastAsiaTheme="majorEastAsia" w:hAnsiTheme="majorHAnsi" w:cstheme="majorBidi"/>
      <w:b/>
      <w:bCs/>
    </w:rPr>
  </w:style>
  <w:style w:type="paragraph" w:styleId="Inhopg1">
    <w:name w:val="toc 1"/>
    <w:basedOn w:val="Standaard"/>
    <w:next w:val="Standaard"/>
    <w:autoRedefine/>
    <w:uiPriority w:val="39"/>
    <w:semiHidden/>
    <w:unhideWhenUsed/>
    <w:rsid w:val="0067060A"/>
    <w:pPr>
      <w:spacing w:after="100"/>
    </w:pPr>
  </w:style>
  <w:style w:type="paragraph" w:styleId="Inhopg2">
    <w:name w:val="toc 2"/>
    <w:basedOn w:val="Standaard"/>
    <w:next w:val="Standaard"/>
    <w:autoRedefine/>
    <w:uiPriority w:val="39"/>
    <w:semiHidden/>
    <w:unhideWhenUsed/>
    <w:rsid w:val="0067060A"/>
    <w:pPr>
      <w:spacing w:after="100"/>
      <w:ind w:left="210"/>
    </w:pPr>
  </w:style>
  <w:style w:type="paragraph" w:styleId="Inhopg3">
    <w:name w:val="toc 3"/>
    <w:basedOn w:val="Standaard"/>
    <w:next w:val="Standaard"/>
    <w:autoRedefine/>
    <w:uiPriority w:val="39"/>
    <w:semiHidden/>
    <w:unhideWhenUsed/>
    <w:rsid w:val="0067060A"/>
    <w:pPr>
      <w:spacing w:after="100"/>
      <w:ind w:left="420"/>
    </w:pPr>
  </w:style>
  <w:style w:type="paragraph" w:styleId="Inhopg4">
    <w:name w:val="toc 4"/>
    <w:basedOn w:val="Standaard"/>
    <w:next w:val="Standaard"/>
    <w:autoRedefine/>
    <w:uiPriority w:val="39"/>
    <w:semiHidden/>
    <w:unhideWhenUsed/>
    <w:rsid w:val="0067060A"/>
    <w:pPr>
      <w:spacing w:after="100"/>
      <w:ind w:left="630"/>
    </w:pPr>
  </w:style>
  <w:style w:type="paragraph" w:styleId="Inhopg5">
    <w:name w:val="toc 5"/>
    <w:basedOn w:val="Standaard"/>
    <w:next w:val="Standaard"/>
    <w:autoRedefine/>
    <w:uiPriority w:val="39"/>
    <w:semiHidden/>
    <w:unhideWhenUsed/>
    <w:rsid w:val="0067060A"/>
    <w:pPr>
      <w:spacing w:after="100"/>
      <w:ind w:left="840"/>
    </w:pPr>
  </w:style>
  <w:style w:type="paragraph" w:styleId="Inhopg6">
    <w:name w:val="toc 6"/>
    <w:basedOn w:val="Standaard"/>
    <w:next w:val="Standaard"/>
    <w:autoRedefine/>
    <w:uiPriority w:val="39"/>
    <w:semiHidden/>
    <w:unhideWhenUsed/>
    <w:rsid w:val="0067060A"/>
    <w:pPr>
      <w:spacing w:after="100"/>
      <w:ind w:left="1050"/>
    </w:pPr>
  </w:style>
  <w:style w:type="paragraph" w:styleId="Inhopg7">
    <w:name w:val="toc 7"/>
    <w:basedOn w:val="Standaard"/>
    <w:next w:val="Standaard"/>
    <w:autoRedefine/>
    <w:uiPriority w:val="39"/>
    <w:semiHidden/>
    <w:unhideWhenUsed/>
    <w:rsid w:val="0067060A"/>
    <w:pPr>
      <w:spacing w:after="100"/>
      <w:ind w:left="1260"/>
    </w:pPr>
  </w:style>
  <w:style w:type="paragraph" w:styleId="Inhopg8">
    <w:name w:val="toc 8"/>
    <w:basedOn w:val="Standaard"/>
    <w:next w:val="Standaard"/>
    <w:autoRedefine/>
    <w:uiPriority w:val="39"/>
    <w:semiHidden/>
    <w:unhideWhenUsed/>
    <w:rsid w:val="0067060A"/>
    <w:pPr>
      <w:spacing w:after="100"/>
      <w:ind w:left="1470"/>
    </w:pPr>
  </w:style>
  <w:style w:type="paragraph" w:styleId="Inhopg9">
    <w:name w:val="toc 9"/>
    <w:basedOn w:val="Standaard"/>
    <w:next w:val="Standaard"/>
    <w:autoRedefine/>
    <w:uiPriority w:val="39"/>
    <w:semiHidden/>
    <w:unhideWhenUsed/>
    <w:rsid w:val="0067060A"/>
    <w:pPr>
      <w:spacing w:after="100"/>
      <w:ind w:left="1680"/>
    </w:pPr>
  </w:style>
  <w:style w:type="character" w:customStyle="1" w:styleId="Kop6Char">
    <w:name w:val="Kop 6 Char"/>
    <w:basedOn w:val="Standaardalinea-lettertype"/>
    <w:link w:val="Kop6"/>
    <w:uiPriority w:val="9"/>
    <w:semiHidden/>
    <w:rsid w:val="0067060A"/>
    <w:rPr>
      <w:rFonts w:asciiTheme="majorHAnsi" w:eastAsiaTheme="majorEastAsia" w:hAnsiTheme="majorHAnsi" w:cstheme="majorBidi"/>
      <w:color w:val="243F60" w:themeColor="accent1" w:themeShade="7F"/>
      <w:sz w:val="21"/>
    </w:rPr>
  </w:style>
  <w:style w:type="character" w:customStyle="1" w:styleId="Kop7Char">
    <w:name w:val="Kop 7 Char"/>
    <w:basedOn w:val="Standaardalinea-lettertype"/>
    <w:link w:val="Kop7"/>
    <w:uiPriority w:val="9"/>
    <w:semiHidden/>
    <w:rsid w:val="0067060A"/>
    <w:rPr>
      <w:rFonts w:asciiTheme="majorHAnsi" w:eastAsiaTheme="majorEastAsia" w:hAnsiTheme="majorHAnsi" w:cstheme="majorBidi"/>
      <w:i/>
      <w:iCs/>
      <w:color w:val="243F60" w:themeColor="accent1" w:themeShade="7F"/>
      <w:sz w:val="21"/>
    </w:rPr>
  </w:style>
  <w:style w:type="character" w:customStyle="1" w:styleId="Kop8Char">
    <w:name w:val="Kop 8 Char"/>
    <w:basedOn w:val="Standaardalinea-lettertype"/>
    <w:link w:val="Kop8"/>
    <w:uiPriority w:val="9"/>
    <w:semiHidden/>
    <w:rsid w:val="0067060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67060A"/>
    <w:rPr>
      <w:rFonts w:asciiTheme="majorHAnsi" w:eastAsiaTheme="majorEastAsia" w:hAnsiTheme="majorHAnsi" w:cstheme="majorBidi"/>
      <w:i/>
      <w:iCs/>
      <w:color w:val="272727" w:themeColor="text1" w:themeTint="D8"/>
      <w:sz w:val="21"/>
      <w:szCs w:val="21"/>
    </w:rPr>
  </w:style>
  <w:style w:type="paragraph" w:styleId="Kopbronvermelding">
    <w:name w:val="toa heading"/>
    <w:basedOn w:val="Standaard"/>
    <w:next w:val="Standaard"/>
    <w:uiPriority w:val="99"/>
    <w:semiHidden/>
    <w:rsid w:val="0067060A"/>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qFormat/>
    <w:rsid w:val="0067060A"/>
    <w:pPr>
      <w:spacing w:before="240"/>
      <w:outlineLvl w:val="9"/>
    </w:pPr>
    <w:rPr>
      <w:rFonts w:asciiTheme="majorHAnsi" w:hAnsiTheme="majorHAnsi"/>
      <w:bCs w:val="0"/>
      <w:color w:val="365F91" w:themeColor="accent1" w:themeShade="BF"/>
      <w:sz w:val="32"/>
      <w:szCs w:val="32"/>
    </w:rPr>
  </w:style>
  <w:style w:type="paragraph" w:styleId="Koptekst">
    <w:name w:val="header"/>
    <w:basedOn w:val="Standaard"/>
    <w:link w:val="KoptekstChar"/>
    <w:uiPriority w:val="99"/>
    <w:semiHidden/>
    <w:rsid w:val="0067060A"/>
    <w:pPr>
      <w:tabs>
        <w:tab w:val="center" w:pos="4513"/>
        <w:tab w:val="right" w:pos="9026"/>
      </w:tabs>
      <w:spacing w:line="240" w:lineRule="auto"/>
    </w:pPr>
  </w:style>
  <w:style w:type="character" w:customStyle="1" w:styleId="KoptekstChar">
    <w:name w:val="Koptekst Char"/>
    <w:basedOn w:val="Standaardalinea-lettertype"/>
    <w:link w:val="Koptekst"/>
    <w:uiPriority w:val="99"/>
    <w:semiHidden/>
    <w:rsid w:val="0067060A"/>
    <w:rPr>
      <w:rFonts w:ascii="Verdana" w:hAnsi="Verdana"/>
      <w:sz w:val="21"/>
    </w:rPr>
  </w:style>
  <w:style w:type="paragraph" w:styleId="Lijst">
    <w:name w:val="List"/>
    <w:basedOn w:val="Standaard"/>
    <w:uiPriority w:val="99"/>
    <w:semiHidden/>
    <w:unhideWhenUsed/>
    <w:rsid w:val="0067060A"/>
    <w:pPr>
      <w:ind w:left="283" w:hanging="283"/>
      <w:contextualSpacing/>
    </w:pPr>
  </w:style>
  <w:style w:type="paragraph" w:styleId="Lijst2">
    <w:name w:val="List 2"/>
    <w:basedOn w:val="Standaard"/>
    <w:uiPriority w:val="99"/>
    <w:semiHidden/>
    <w:unhideWhenUsed/>
    <w:rsid w:val="0067060A"/>
    <w:pPr>
      <w:ind w:left="566" w:hanging="283"/>
      <w:contextualSpacing/>
    </w:pPr>
  </w:style>
  <w:style w:type="paragraph" w:styleId="Lijst3">
    <w:name w:val="List 3"/>
    <w:basedOn w:val="Standaard"/>
    <w:uiPriority w:val="99"/>
    <w:semiHidden/>
    <w:unhideWhenUsed/>
    <w:rsid w:val="0067060A"/>
    <w:pPr>
      <w:ind w:left="849" w:hanging="283"/>
      <w:contextualSpacing/>
    </w:pPr>
  </w:style>
  <w:style w:type="paragraph" w:styleId="Lijst4">
    <w:name w:val="List 4"/>
    <w:basedOn w:val="Standaard"/>
    <w:uiPriority w:val="99"/>
    <w:semiHidden/>
    <w:unhideWhenUsed/>
    <w:rsid w:val="0067060A"/>
    <w:pPr>
      <w:ind w:left="1132" w:hanging="283"/>
      <w:contextualSpacing/>
    </w:pPr>
  </w:style>
  <w:style w:type="paragraph" w:styleId="Lijst5">
    <w:name w:val="List 5"/>
    <w:basedOn w:val="Standaard"/>
    <w:uiPriority w:val="99"/>
    <w:semiHidden/>
    <w:unhideWhenUsed/>
    <w:rsid w:val="0067060A"/>
    <w:pPr>
      <w:ind w:left="1415" w:hanging="283"/>
      <w:contextualSpacing/>
    </w:pPr>
  </w:style>
  <w:style w:type="paragraph" w:styleId="Lijstmetafbeeldingen">
    <w:name w:val="table of figures"/>
    <w:basedOn w:val="Standaard"/>
    <w:next w:val="Standaard"/>
    <w:uiPriority w:val="99"/>
    <w:semiHidden/>
    <w:unhideWhenUsed/>
    <w:rsid w:val="0067060A"/>
  </w:style>
  <w:style w:type="paragraph" w:styleId="Lijstopsomteken">
    <w:name w:val="List Bullet"/>
    <w:basedOn w:val="Standaard"/>
    <w:uiPriority w:val="99"/>
    <w:semiHidden/>
    <w:unhideWhenUsed/>
    <w:rsid w:val="0067060A"/>
    <w:pPr>
      <w:numPr>
        <w:numId w:val="6"/>
      </w:numPr>
      <w:contextualSpacing/>
    </w:pPr>
  </w:style>
  <w:style w:type="paragraph" w:styleId="Lijstopsomteken2">
    <w:name w:val="List Bullet 2"/>
    <w:basedOn w:val="Standaard"/>
    <w:uiPriority w:val="99"/>
    <w:semiHidden/>
    <w:unhideWhenUsed/>
    <w:rsid w:val="0067060A"/>
    <w:pPr>
      <w:numPr>
        <w:numId w:val="7"/>
      </w:numPr>
      <w:contextualSpacing/>
    </w:pPr>
  </w:style>
  <w:style w:type="paragraph" w:styleId="Lijstopsomteken3">
    <w:name w:val="List Bullet 3"/>
    <w:basedOn w:val="Standaard"/>
    <w:uiPriority w:val="99"/>
    <w:semiHidden/>
    <w:unhideWhenUsed/>
    <w:rsid w:val="0067060A"/>
    <w:pPr>
      <w:numPr>
        <w:numId w:val="8"/>
      </w:numPr>
      <w:contextualSpacing/>
    </w:pPr>
  </w:style>
  <w:style w:type="paragraph" w:styleId="Lijstopsomteken4">
    <w:name w:val="List Bullet 4"/>
    <w:basedOn w:val="Standaard"/>
    <w:uiPriority w:val="99"/>
    <w:semiHidden/>
    <w:unhideWhenUsed/>
    <w:rsid w:val="0067060A"/>
    <w:pPr>
      <w:numPr>
        <w:numId w:val="9"/>
      </w:numPr>
      <w:contextualSpacing/>
    </w:pPr>
  </w:style>
  <w:style w:type="paragraph" w:styleId="Lijstopsomteken5">
    <w:name w:val="List Bullet 5"/>
    <w:basedOn w:val="Standaard"/>
    <w:uiPriority w:val="99"/>
    <w:semiHidden/>
    <w:unhideWhenUsed/>
    <w:rsid w:val="0067060A"/>
    <w:pPr>
      <w:numPr>
        <w:numId w:val="10"/>
      </w:numPr>
      <w:contextualSpacing/>
    </w:pPr>
  </w:style>
  <w:style w:type="paragraph" w:styleId="Lijstnummering">
    <w:name w:val="List Number"/>
    <w:basedOn w:val="Standaard"/>
    <w:uiPriority w:val="99"/>
    <w:semiHidden/>
    <w:unhideWhenUsed/>
    <w:rsid w:val="0067060A"/>
    <w:pPr>
      <w:numPr>
        <w:numId w:val="11"/>
      </w:numPr>
      <w:contextualSpacing/>
    </w:pPr>
  </w:style>
  <w:style w:type="paragraph" w:styleId="Lijstnummering2">
    <w:name w:val="List Number 2"/>
    <w:basedOn w:val="Standaard"/>
    <w:uiPriority w:val="99"/>
    <w:semiHidden/>
    <w:unhideWhenUsed/>
    <w:rsid w:val="0067060A"/>
    <w:pPr>
      <w:numPr>
        <w:numId w:val="12"/>
      </w:numPr>
      <w:contextualSpacing/>
    </w:pPr>
  </w:style>
  <w:style w:type="paragraph" w:styleId="Lijstnummering3">
    <w:name w:val="List Number 3"/>
    <w:basedOn w:val="Standaard"/>
    <w:uiPriority w:val="99"/>
    <w:semiHidden/>
    <w:unhideWhenUsed/>
    <w:rsid w:val="0067060A"/>
    <w:pPr>
      <w:numPr>
        <w:numId w:val="13"/>
      </w:numPr>
      <w:contextualSpacing/>
    </w:pPr>
  </w:style>
  <w:style w:type="paragraph" w:styleId="Lijstnummering4">
    <w:name w:val="List Number 4"/>
    <w:basedOn w:val="Standaard"/>
    <w:uiPriority w:val="99"/>
    <w:semiHidden/>
    <w:unhideWhenUsed/>
    <w:rsid w:val="0067060A"/>
    <w:pPr>
      <w:numPr>
        <w:numId w:val="14"/>
      </w:numPr>
      <w:contextualSpacing/>
    </w:pPr>
  </w:style>
  <w:style w:type="paragraph" w:styleId="Lijstnummering5">
    <w:name w:val="List Number 5"/>
    <w:basedOn w:val="Standaard"/>
    <w:uiPriority w:val="99"/>
    <w:semiHidden/>
    <w:unhideWhenUsed/>
    <w:rsid w:val="0067060A"/>
    <w:pPr>
      <w:numPr>
        <w:numId w:val="15"/>
      </w:numPr>
      <w:contextualSpacing/>
    </w:pPr>
  </w:style>
  <w:style w:type="paragraph" w:styleId="Lijstvoortzetting">
    <w:name w:val="List Continue"/>
    <w:basedOn w:val="Standaard"/>
    <w:uiPriority w:val="99"/>
    <w:semiHidden/>
    <w:unhideWhenUsed/>
    <w:rsid w:val="0067060A"/>
    <w:pPr>
      <w:spacing w:after="120"/>
      <w:ind w:left="283"/>
      <w:contextualSpacing/>
    </w:pPr>
  </w:style>
  <w:style w:type="paragraph" w:styleId="Lijstvoortzetting2">
    <w:name w:val="List Continue 2"/>
    <w:basedOn w:val="Standaard"/>
    <w:uiPriority w:val="99"/>
    <w:semiHidden/>
    <w:unhideWhenUsed/>
    <w:rsid w:val="0067060A"/>
    <w:pPr>
      <w:spacing w:after="120"/>
      <w:ind w:left="566"/>
      <w:contextualSpacing/>
    </w:pPr>
  </w:style>
  <w:style w:type="paragraph" w:styleId="Lijstvoortzetting3">
    <w:name w:val="List Continue 3"/>
    <w:basedOn w:val="Standaard"/>
    <w:uiPriority w:val="99"/>
    <w:semiHidden/>
    <w:unhideWhenUsed/>
    <w:rsid w:val="0067060A"/>
    <w:pPr>
      <w:spacing w:after="120"/>
      <w:ind w:left="849"/>
      <w:contextualSpacing/>
    </w:pPr>
  </w:style>
  <w:style w:type="paragraph" w:styleId="Lijstvoortzetting4">
    <w:name w:val="List Continue 4"/>
    <w:basedOn w:val="Standaard"/>
    <w:uiPriority w:val="99"/>
    <w:semiHidden/>
    <w:unhideWhenUsed/>
    <w:rsid w:val="0067060A"/>
    <w:pPr>
      <w:spacing w:after="120"/>
      <w:ind w:left="1132"/>
      <w:contextualSpacing/>
    </w:pPr>
  </w:style>
  <w:style w:type="paragraph" w:styleId="Lijstvoortzetting5">
    <w:name w:val="List Continue 5"/>
    <w:basedOn w:val="Standaard"/>
    <w:uiPriority w:val="99"/>
    <w:semiHidden/>
    <w:unhideWhenUsed/>
    <w:rsid w:val="0067060A"/>
    <w:pPr>
      <w:spacing w:after="120"/>
      <w:ind w:left="1415"/>
      <w:contextualSpacing/>
    </w:pPr>
  </w:style>
  <w:style w:type="paragraph" w:styleId="Macrotekst">
    <w:name w:val="macro"/>
    <w:link w:val="MacrotekstChar"/>
    <w:uiPriority w:val="99"/>
    <w:semiHidden/>
    <w:unhideWhenUsed/>
    <w:rsid w:val="0067060A"/>
    <w:pPr>
      <w:tabs>
        <w:tab w:val="left" w:pos="480"/>
        <w:tab w:val="left" w:pos="960"/>
        <w:tab w:val="left" w:pos="1440"/>
        <w:tab w:val="left" w:pos="1920"/>
        <w:tab w:val="left" w:pos="2400"/>
        <w:tab w:val="left" w:pos="2880"/>
        <w:tab w:val="left" w:pos="3360"/>
        <w:tab w:val="left" w:pos="3840"/>
        <w:tab w:val="left" w:pos="4320"/>
      </w:tabs>
      <w:spacing w:after="0" w:line="360" w:lineRule="atLeast"/>
    </w:pPr>
    <w:rPr>
      <w:rFonts w:ascii="Consolas" w:hAnsi="Consolas"/>
      <w:sz w:val="20"/>
      <w:szCs w:val="20"/>
    </w:rPr>
  </w:style>
  <w:style w:type="character" w:customStyle="1" w:styleId="MacrotekstChar">
    <w:name w:val="Macrotekst Char"/>
    <w:basedOn w:val="Standaardalinea-lettertype"/>
    <w:link w:val="Macrotekst"/>
    <w:uiPriority w:val="99"/>
    <w:semiHidden/>
    <w:rsid w:val="0067060A"/>
    <w:rPr>
      <w:rFonts w:ascii="Consolas" w:hAnsi="Consolas"/>
      <w:sz w:val="20"/>
      <w:szCs w:val="20"/>
    </w:rPr>
  </w:style>
  <w:style w:type="paragraph" w:styleId="Notitiekop">
    <w:name w:val="Note Heading"/>
    <w:basedOn w:val="Standaard"/>
    <w:next w:val="Standaard"/>
    <w:link w:val="NotitiekopChar"/>
    <w:uiPriority w:val="99"/>
    <w:semiHidden/>
    <w:unhideWhenUsed/>
    <w:rsid w:val="0067060A"/>
    <w:pPr>
      <w:spacing w:line="240" w:lineRule="auto"/>
    </w:pPr>
  </w:style>
  <w:style w:type="character" w:customStyle="1" w:styleId="NotitiekopChar">
    <w:name w:val="Notitiekop Char"/>
    <w:basedOn w:val="Standaardalinea-lettertype"/>
    <w:link w:val="Notitiekop"/>
    <w:uiPriority w:val="99"/>
    <w:semiHidden/>
    <w:rsid w:val="0067060A"/>
    <w:rPr>
      <w:rFonts w:ascii="Verdana" w:hAnsi="Verdana"/>
      <w:sz w:val="21"/>
    </w:rPr>
  </w:style>
  <w:style w:type="paragraph" w:styleId="Ondertitel">
    <w:name w:val="Subtitle"/>
    <w:basedOn w:val="Standaard"/>
    <w:next w:val="Standaard"/>
    <w:link w:val="OndertitelChar"/>
    <w:uiPriority w:val="11"/>
    <w:qFormat/>
    <w:rsid w:val="0067060A"/>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67060A"/>
    <w:rPr>
      <w:rFonts w:eastAsiaTheme="minorEastAsia"/>
      <w:color w:val="5A5A5A" w:themeColor="text1" w:themeTint="A5"/>
      <w:spacing w:val="15"/>
    </w:rPr>
  </w:style>
  <w:style w:type="paragraph" w:styleId="Tekstopmerking">
    <w:name w:val="annotation text"/>
    <w:basedOn w:val="Standaard"/>
    <w:link w:val="TekstopmerkingChar"/>
    <w:uiPriority w:val="99"/>
    <w:semiHidden/>
    <w:unhideWhenUsed/>
    <w:rsid w:val="006706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7060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67060A"/>
    <w:rPr>
      <w:b/>
      <w:bCs/>
    </w:rPr>
  </w:style>
  <w:style w:type="character" w:customStyle="1" w:styleId="OnderwerpvanopmerkingChar">
    <w:name w:val="Onderwerp van opmerking Char"/>
    <w:basedOn w:val="TekstopmerkingChar"/>
    <w:link w:val="Onderwerpvanopmerking"/>
    <w:uiPriority w:val="99"/>
    <w:semiHidden/>
    <w:rsid w:val="0067060A"/>
    <w:rPr>
      <w:rFonts w:ascii="Verdana" w:hAnsi="Verdana"/>
      <w:b/>
      <w:bCs/>
      <w:sz w:val="20"/>
      <w:szCs w:val="20"/>
    </w:rPr>
  </w:style>
  <w:style w:type="paragraph" w:styleId="Plattetekst">
    <w:name w:val="Body Text"/>
    <w:basedOn w:val="Standaard"/>
    <w:link w:val="PlattetekstChar"/>
    <w:uiPriority w:val="99"/>
    <w:semiHidden/>
    <w:unhideWhenUsed/>
    <w:rsid w:val="0067060A"/>
    <w:pPr>
      <w:spacing w:after="120"/>
    </w:pPr>
  </w:style>
  <w:style w:type="character" w:customStyle="1" w:styleId="PlattetekstChar">
    <w:name w:val="Platte tekst Char"/>
    <w:basedOn w:val="Standaardalinea-lettertype"/>
    <w:link w:val="Plattetekst"/>
    <w:uiPriority w:val="99"/>
    <w:semiHidden/>
    <w:rsid w:val="0067060A"/>
    <w:rPr>
      <w:rFonts w:ascii="Verdana" w:hAnsi="Verdana"/>
      <w:sz w:val="21"/>
    </w:rPr>
  </w:style>
  <w:style w:type="paragraph" w:styleId="Plattetekst2">
    <w:name w:val="Body Text 2"/>
    <w:basedOn w:val="Standaard"/>
    <w:link w:val="Plattetekst2Char"/>
    <w:uiPriority w:val="99"/>
    <w:semiHidden/>
    <w:unhideWhenUsed/>
    <w:rsid w:val="0067060A"/>
    <w:pPr>
      <w:spacing w:after="120" w:line="480" w:lineRule="auto"/>
    </w:pPr>
  </w:style>
  <w:style w:type="character" w:customStyle="1" w:styleId="Plattetekst2Char">
    <w:name w:val="Platte tekst 2 Char"/>
    <w:basedOn w:val="Standaardalinea-lettertype"/>
    <w:link w:val="Plattetekst2"/>
    <w:uiPriority w:val="99"/>
    <w:semiHidden/>
    <w:rsid w:val="0067060A"/>
    <w:rPr>
      <w:rFonts w:ascii="Verdana" w:hAnsi="Verdana"/>
      <w:sz w:val="21"/>
    </w:rPr>
  </w:style>
  <w:style w:type="paragraph" w:styleId="Plattetekst3">
    <w:name w:val="Body Text 3"/>
    <w:basedOn w:val="Standaard"/>
    <w:link w:val="Plattetekst3Char"/>
    <w:uiPriority w:val="99"/>
    <w:semiHidden/>
    <w:unhideWhenUsed/>
    <w:rsid w:val="0067060A"/>
    <w:pPr>
      <w:spacing w:after="120"/>
    </w:pPr>
    <w:rPr>
      <w:sz w:val="16"/>
      <w:szCs w:val="16"/>
    </w:rPr>
  </w:style>
  <w:style w:type="character" w:customStyle="1" w:styleId="Plattetekst3Char">
    <w:name w:val="Platte tekst 3 Char"/>
    <w:basedOn w:val="Standaardalinea-lettertype"/>
    <w:link w:val="Plattetekst3"/>
    <w:uiPriority w:val="99"/>
    <w:semiHidden/>
    <w:rsid w:val="0067060A"/>
    <w:rPr>
      <w:rFonts w:ascii="Verdana" w:hAnsi="Verdana"/>
      <w:sz w:val="16"/>
      <w:szCs w:val="16"/>
    </w:rPr>
  </w:style>
  <w:style w:type="paragraph" w:styleId="Platteteksteersteinspringing">
    <w:name w:val="Body Text First Indent"/>
    <w:basedOn w:val="Plattetekst"/>
    <w:link w:val="PlatteteksteersteinspringingChar"/>
    <w:uiPriority w:val="99"/>
    <w:semiHidden/>
    <w:unhideWhenUsed/>
    <w:rsid w:val="0067060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7060A"/>
    <w:rPr>
      <w:rFonts w:ascii="Verdana" w:hAnsi="Verdana"/>
      <w:sz w:val="21"/>
    </w:rPr>
  </w:style>
  <w:style w:type="paragraph" w:styleId="Plattetekstinspringen">
    <w:name w:val="Body Text Indent"/>
    <w:basedOn w:val="Standaard"/>
    <w:link w:val="PlattetekstinspringenChar"/>
    <w:uiPriority w:val="99"/>
    <w:semiHidden/>
    <w:unhideWhenUsed/>
    <w:rsid w:val="0067060A"/>
    <w:pPr>
      <w:spacing w:after="120"/>
      <w:ind w:left="283"/>
    </w:pPr>
  </w:style>
  <w:style w:type="character" w:customStyle="1" w:styleId="PlattetekstinspringenChar">
    <w:name w:val="Platte tekst inspringen Char"/>
    <w:basedOn w:val="Standaardalinea-lettertype"/>
    <w:link w:val="Plattetekstinspringen"/>
    <w:uiPriority w:val="99"/>
    <w:semiHidden/>
    <w:rsid w:val="0067060A"/>
    <w:rPr>
      <w:rFonts w:ascii="Verdana" w:hAnsi="Verdana"/>
      <w:sz w:val="21"/>
    </w:rPr>
  </w:style>
  <w:style w:type="paragraph" w:styleId="Platteteksteersteinspringing2">
    <w:name w:val="Body Text First Indent 2"/>
    <w:basedOn w:val="Plattetekstinspringen"/>
    <w:link w:val="Platteteksteersteinspringing2Char"/>
    <w:uiPriority w:val="99"/>
    <w:semiHidden/>
    <w:unhideWhenUsed/>
    <w:rsid w:val="0067060A"/>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67060A"/>
    <w:rPr>
      <w:rFonts w:ascii="Verdana" w:hAnsi="Verdana"/>
      <w:sz w:val="21"/>
    </w:rPr>
  </w:style>
  <w:style w:type="paragraph" w:styleId="Plattetekstinspringen2">
    <w:name w:val="Body Text Indent 2"/>
    <w:basedOn w:val="Standaard"/>
    <w:link w:val="Plattetekstinspringen2Char"/>
    <w:uiPriority w:val="99"/>
    <w:semiHidden/>
    <w:unhideWhenUsed/>
    <w:rsid w:val="0067060A"/>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67060A"/>
    <w:rPr>
      <w:rFonts w:ascii="Verdana" w:hAnsi="Verdana"/>
      <w:sz w:val="21"/>
    </w:rPr>
  </w:style>
  <w:style w:type="paragraph" w:styleId="Plattetekstinspringen3">
    <w:name w:val="Body Text Indent 3"/>
    <w:basedOn w:val="Standaard"/>
    <w:link w:val="Plattetekstinspringen3Char"/>
    <w:uiPriority w:val="99"/>
    <w:semiHidden/>
    <w:unhideWhenUsed/>
    <w:rsid w:val="0067060A"/>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67060A"/>
    <w:rPr>
      <w:rFonts w:ascii="Verdana" w:hAnsi="Verdana"/>
      <w:sz w:val="16"/>
      <w:szCs w:val="16"/>
    </w:rPr>
  </w:style>
  <w:style w:type="paragraph" w:styleId="Standaardinspringing">
    <w:name w:val="Normal Indent"/>
    <w:basedOn w:val="Standaard"/>
    <w:uiPriority w:val="99"/>
    <w:semiHidden/>
    <w:unhideWhenUsed/>
    <w:rsid w:val="0067060A"/>
    <w:pPr>
      <w:ind w:left="720"/>
    </w:pPr>
  </w:style>
  <w:style w:type="paragraph" w:styleId="Tekstzonderopmaak">
    <w:name w:val="Plain Text"/>
    <w:basedOn w:val="Standaard"/>
    <w:link w:val="TekstzonderopmaakChar"/>
    <w:uiPriority w:val="99"/>
    <w:semiHidden/>
    <w:unhideWhenUsed/>
    <w:rsid w:val="0067060A"/>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7060A"/>
    <w:rPr>
      <w:rFonts w:ascii="Consolas" w:hAnsi="Consolas"/>
      <w:sz w:val="21"/>
      <w:szCs w:val="21"/>
    </w:rPr>
  </w:style>
  <w:style w:type="paragraph" w:styleId="Titel">
    <w:name w:val="Title"/>
    <w:basedOn w:val="Standaard"/>
    <w:next w:val="Standaard"/>
    <w:link w:val="TitelChar"/>
    <w:uiPriority w:val="10"/>
    <w:rsid w:val="0067060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060A"/>
    <w:rPr>
      <w:rFonts w:asciiTheme="majorHAnsi" w:eastAsiaTheme="majorEastAsia" w:hAnsiTheme="majorHAnsi" w:cstheme="majorBidi"/>
      <w:spacing w:val="-10"/>
      <w:kern w:val="28"/>
      <w:sz w:val="56"/>
      <w:szCs w:val="56"/>
    </w:rPr>
  </w:style>
  <w:style w:type="paragraph" w:styleId="Voetnoottekst">
    <w:name w:val="footnote text"/>
    <w:basedOn w:val="Standaard"/>
    <w:link w:val="VoetnoottekstChar"/>
    <w:uiPriority w:val="99"/>
    <w:semiHidden/>
    <w:unhideWhenUsed/>
    <w:rsid w:val="0067060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7060A"/>
    <w:rPr>
      <w:rFonts w:ascii="Verdana" w:hAnsi="Verdana"/>
      <w:sz w:val="20"/>
      <w:szCs w:val="20"/>
    </w:rPr>
  </w:style>
  <w:style w:type="paragraph" w:styleId="Voettekst">
    <w:name w:val="footer"/>
    <w:basedOn w:val="Standaard"/>
    <w:link w:val="VoettekstChar"/>
    <w:uiPriority w:val="99"/>
    <w:semiHidden/>
    <w:unhideWhenUsed/>
    <w:rsid w:val="0067060A"/>
    <w:pPr>
      <w:tabs>
        <w:tab w:val="center" w:pos="4513"/>
        <w:tab w:val="right" w:pos="9026"/>
      </w:tabs>
      <w:spacing w:line="240" w:lineRule="auto"/>
    </w:pPr>
  </w:style>
  <w:style w:type="character" w:customStyle="1" w:styleId="VoettekstChar">
    <w:name w:val="Voettekst Char"/>
    <w:basedOn w:val="Standaardalinea-lettertype"/>
    <w:link w:val="Voettekst"/>
    <w:uiPriority w:val="99"/>
    <w:semiHidden/>
    <w:rsid w:val="0067060A"/>
    <w:rPr>
      <w:rFonts w:ascii="Verdana" w:hAnsi="Verdana"/>
      <w:sz w:val="21"/>
    </w:rPr>
  </w:style>
  <w:style w:type="character" w:styleId="GevolgdeHyperlink">
    <w:name w:val="FollowedHyperlink"/>
    <w:basedOn w:val="Standaardalinea-lettertype"/>
    <w:uiPriority w:val="99"/>
    <w:semiHidden/>
    <w:unhideWhenUsed/>
    <w:rsid w:val="0067060A"/>
    <w:rPr>
      <w:color w:val="800080" w:themeColor="followedHyperlink"/>
      <w:u w:val="single"/>
    </w:rPr>
  </w:style>
  <w:style w:type="character" w:styleId="Zwaar">
    <w:name w:val="Strong"/>
    <w:basedOn w:val="Standaardalinea-lettertype"/>
    <w:uiPriority w:val="22"/>
    <w:qFormat/>
    <w:rsid w:val="00BC14AE"/>
    <w:rPr>
      <w:b/>
      <w:bCs/>
    </w:rPr>
  </w:style>
  <w:style w:type="paragraph" w:customStyle="1" w:styleId="paragraph">
    <w:name w:val="paragraph"/>
    <w:basedOn w:val="Standaard"/>
    <w:rsid w:val="00177380"/>
    <w:pPr>
      <w:spacing w:before="100" w:beforeAutospacing="1" w:after="100" w:afterAutospacing="1" w:line="240" w:lineRule="auto"/>
    </w:pPr>
    <w:rPr>
      <w:rFonts w:ascii="Calibri" w:hAnsi="Calibri" w:cs="Calibri"/>
      <w:sz w:val="22"/>
      <w:lang w:eastAsia="nl-NL"/>
    </w:rPr>
  </w:style>
  <w:style w:type="character" w:customStyle="1" w:styleId="normaltextrun">
    <w:name w:val="normaltextrun"/>
    <w:basedOn w:val="Standaardalinea-lettertype"/>
    <w:rsid w:val="00177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5923">
      <w:bodyDiv w:val="1"/>
      <w:marLeft w:val="0"/>
      <w:marRight w:val="0"/>
      <w:marTop w:val="0"/>
      <w:marBottom w:val="0"/>
      <w:divBdr>
        <w:top w:val="none" w:sz="0" w:space="0" w:color="auto"/>
        <w:left w:val="none" w:sz="0" w:space="0" w:color="auto"/>
        <w:bottom w:val="none" w:sz="0" w:space="0" w:color="auto"/>
        <w:right w:val="none" w:sz="0" w:space="0" w:color="auto"/>
      </w:divBdr>
    </w:div>
    <w:div w:id="165874316">
      <w:bodyDiv w:val="1"/>
      <w:marLeft w:val="0"/>
      <w:marRight w:val="0"/>
      <w:marTop w:val="0"/>
      <w:marBottom w:val="0"/>
      <w:divBdr>
        <w:top w:val="none" w:sz="0" w:space="0" w:color="auto"/>
        <w:left w:val="none" w:sz="0" w:space="0" w:color="auto"/>
        <w:bottom w:val="none" w:sz="0" w:space="0" w:color="auto"/>
        <w:right w:val="none" w:sz="0" w:space="0" w:color="auto"/>
      </w:divBdr>
    </w:div>
    <w:div w:id="177545857">
      <w:bodyDiv w:val="1"/>
      <w:marLeft w:val="0"/>
      <w:marRight w:val="0"/>
      <w:marTop w:val="0"/>
      <w:marBottom w:val="0"/>
      <w:divBdr>
        <w:top w:val="none" w:sz="0" w:space="0" w:color="auto"/>
        <w:left w:val="none" w:sz="0" w:space="0" w:color="auto"/>
        <w:bottom w:val="none" w:sz="0" w:space="0" w:color="auto"/>
        <w:right w:val="none" w:sz="0" w:space="0" w:color="auto"/>
      </w:divBdr>
    </w:div>
    <w:div w:id="326173603">
      <w:bodyDiv w:val="1"/>
      <w:marLeft w:val="0"/>
      <w:marRight w:val="0"/>
      <w:marTop w:val="0"/>
      <w:marBottom w:val="0"/>
      <w:divBdr>
        <w:top w:val="none" w:sz="0" w:space="0" w:color="auto"/>
        <w:left w:val="none" w:sz="0" w:space="0" w:color="auto"/>
        <w:bottom w:val="none" w:sz="0" w:space="0" w:color="auto"/>
        <w:right w:val="none" w:sz="0" w:space="0" w:color="auto"/>
      </w:divBdr>
    </w:div>
    <w:div w:id="424225348">
      <w:bodyDiv w:val="1"/>
      <w:marLeft w:val="0"/>
      <w:marRight w:val="0"/>
      <w:marTop w:val="0"/>
      <w:marBottom w:val="0"/>
      <w:divBdr>
        <w:top w:val="none" w:sz="0" w:space="0" w:color="auto"/>
        <w:left w:val="none" w:sz="0" w:space="0" w:color="auto"/>
        <w:bottom w:val="none" w:sz="0" w:space="0" w:color="auto"/>
        <w:right w:val="none" w:sz="0" w:space="0" w:color="auto"/>
      </w:divBdr>
    </w:div>
    <w:div w:id="507408027">
      <w:bodyDiv w:val="1"/>
      <w:marLeft w:val="0"/>
      <w:marRight w:val="0"/>
      <w:marTop w:val="0"/>
      <w:marBottom w:val="0"/>
      <w:divBdr>
        <w:top w:val="none" w:sz="0" w:space="0" w:color="auto"/>
        <w:left w:val="none" w:sz="0" w:space="0" w:color="auto"/>
        <w:bottom w:val="none" w:sz="0" w:space="0" w:color="auto"/>
        <w:right w:val="none" w:sz="0" w:space="0" w:color="auto"/>
      </w:divBdr>
    </w:div>
    <w:div w:id="884487782">
      <w:bodyDiv w:val="1"/>
      <w:marLeft w:val="0"/>
      <w:marRight w:val="0"/>
      <w:marTop w:val="0"/>
      <w:marBottom w:val="0"/>
      <w:divBdr>
        <w:top w:val="none" w:sz="0" w:space="0" w:color="auto"/>
        <w:left w:val="none" w:sz="0" w:space="0" w:color="auto"/>
        <w:bottom w:val="none" w:sz="0" w:space="0" w:color="auto"/>
        <w:right w:val="none" w:sz="0" w:space="0" w:color="auto"/>
      </w:divBdr>
    </w:div>
    <w:div w:id="903567638">
      <w:bodyDiv w:val="1"/>
      <w:marLeft w:val="0"/>
      <w:marRight w:val="0"/>
      <w:marTop w:val="0"/>
      <w:marBottom w:val="0"/>
      <w:divBdr>
        <w:top w:val="none" w:sz="0" w:space="0" w:color="auto"/>
        <w:left w:val="none" w:sz="0" w:space="0" w:color="auto"/>
        <w:bottom w:val="none" w:sz="0" w:space="0" w:color="auto"/>
        <w:right w:val="none" w:sz="0" w:space="0" w:color="auto"/>
      </w:divBdr>
    </w:div>
    <w:div w:id="908729043">
      <w:bodyDiv w:val="1"/>
      <w:marLeft w:val="0"/>
      <w:marRight w:val="0"/>
      <w:marTop w:val="0"/>
      <w:marBottom w:val="0"/>
      <w:divBdr>
        <w:top w:val="none" w:sz="0" w:space="0" w:color="auto"/>
        <w:left w:val="none" w:sz="0" w:space="0" w:color="auto"/>
        <w:bottom w:val="none" w:sz="0" w:space="0" w:color="auto"/>
        <w:right w:val="none" w:sz="0" w:space="0" w:color="auto"/>
      </w:divBdr>
      <w:divsChild>
        <w:div w:id="672344809">
          <w:marLeft w:val="0"/>
          <w:marRight w:val="0"/>
          <w:marTop w:val="0"/>
          <w:marBottom w:val="0"/>
          <w:divBdr>
            <w:top w:val="none" w:sz="0" w:space="0" w:color="auto"/>
            <w:left w:val="none" w:sz="0" w:space="0" w:color="auto"/>
            <w:bottom w:val="none" w:sz="0" w:space="0" w:color="auto"/>
            <w:right w:val="none" w:sz="0" w:space="0" w:color="auto"/>
          </w:divBdr>
        </w:div>
      </w:divsChild>
    </w:div>
    <w:div w:id="947276038">
      <w:bodyDiv w:val="1"/>
      <w:marLeft w:val="0"/>
      <w:marRight w:val="0"/>
      <w:marTop w:val="0"/>
      <w:marBottom w:val="0"/>
      <w:divBdr>
        <w:top w:val="none" w:sz="0" w:space="0" w:color="auto"/>
        <w:left w:val="none" w:sz="0" w:space="0" w:color="auto"/>
        <w:bottom w:val="none" w:sz="0" w:space="0" w:color="auto"/>
        <w:right w:val="none" w:sz="0" w:space="0" w:color="auto"/>
      </w:divBdr>
    </w:div>
    <w:div w:id="1285385289">
      <w:bodyDiv w:val="1"/>
      <w:marLeft w:val="0"/>
      <w:marRight w:val="0"/>
      <w:marTop w:val="0"/>
      <w:marBottom w:val="0"/>
      <w:divBdr>
        <w:top w:val="none" w:sz="0" w:space="0" w:color="auto"/>
        <w:left w:val="none" w:sz="0" w:space="0" w:color="auto"/>
        <w:bottom w:val="none" w:sz="0" w:space="0" w:color="auto"/>
        <w:right w:val="none" w:sz="0" w:space="0" w:color="auto"/>
      </w:divBdr>
    </w:div>
    <w:div w:id="1478958688">
      <w:bodyDiv w:val="1"/>
      <w:marLeft w:val="0"/>
      <w:marRight w:val="0"/>
      <w:marTop w:val="0"/>
      <w:marBottom w:val="0"/>
      <w:divBdr>
        <w:top w:val="none" w:sz="0" w:space="0" w:color="auto"/>
        <w:left w:val="none" w:sz="0" w:space="0" w:color="auto"/>
        <w:bottom w:val="none" w:sz="0" w:space="0" w:color="auto"/>
        <w:right w:val="none" w:sz="0" w:space="0" w:color="auto"/>
      </w:divBdr>
    </w:div>
    <w:div w:id="1519392848">
      <w:bodyDiv w:val="1"/>
      <w:marLeft w:val="0"/>
      <w:marRight w:val="0"/>
      <w:marTop w:val="0"/>
      <w:marBottom w:val="0"/>
      <w:divBdr>
        <w:top w:val="none" w:sz="0" w:space="0" w:color="auto"/>
        <w:left w:val="none" w:sz="0" w:space="0" w:color="auto"/>
        <w:bottom w:val="none" w:sz="0" w:space="0" w:color="auto"/>
        <w:right w:val="none" w:sz="0" w:space="0" w:color="auto"/>
      </w:divBdr>
    </w:div>
    <w:div w:id="1700007232">
      <w:bodyDiv w:val="1"/>
      <w:marLeft w:val="0"/>
      <w:marRight w:val="0"/>
      <w:marTop w:val="0"/>
      <w:marBottom w:val="0"/>
      <w:divBdr>
        <w:top w:val="none" w:sz="0" w:space="0" w:color="auto"/>
        <w:left w:val="none" w:sz="0" w:space="0" w:color="auto"/>
        <w:bottom w:val="none" w:sz="0" w:space="0" w:color="auto"/>
        <w:right w:val="none" w:sz="0" w:space="0" w:color="auto"/>
      </w:divBdr>
    </w:div>
    <w:div w:id="1781559218">
      <w:bodyDiv w:val="1"/>
      <w:marLeft w:val="0"/>
      <w:marRight w:val="0"/>
      <w:marTop w:val="0"/>
      <w:marBottom w:val="0"/>
      <w:divBdr>
        <w:top w:val="none" w:sz="0" w:space="0" w:color="auto"/>
        <w:left w:val="none" w:sz="0" w:space="0" w:color="auto"/>
        <w:bottom w:val="none" w:sz="0" w:space="0" w:color="auto"/>
        <w:right w:val="none" w:sz="0" w:space="0" w:color="auto"/>
      </w:divBdr>
    </w:div>
    <w:div w:id="1786463646">
      <w:bodyDiv w:val="1"/>
      <w:marLeft w:val="0"/>
      <w:marRight w:val="0"/>
      <w:marTop w:val="0"/>
      <w:marBottom w:val="0"/>
      <w:divBdr>
        <w:top w:val="none" w:sz="0" w:space="0" w:color="auto"/>
        <w:left w:val="none" w:sz="0" w:space="0" w:color="auto"/>
        <w:bottom w:val="none" w:sz="0" w:space="0" w:color="auto"/>
        <w:right w:val="none" w:sz="0" w:space="0" w:color="auto"/>
      </w:divBdr>
    </w:div>
    <w:div w:id="1925457365">
      <w:bodyDiv w:val="1"/>
      <w:marLeft w:val="0"/>
      <w:marRight w:val="0"/>
      <w:marTop w:val="0"/>
      <w:marBottom w:val="0"/>
      <w:divBdr>
        <w:top w:val="none" w:sz="0" w:space="0" w:color="auto"/>
        <w:left w:val="none" w:sz="0" w:space="0" w:color="auto"/>
        <w:bottom w:val="none" w:sz="0" w:space="0" w:color="auto"/>
        <w:right w:val="none" w:sz="0" w:space="0" w:color="auto"/>
      </w:divBdr>
    </w:div>
    <w:div w:id="2033414574">
      <w:bodyDiv w:val="1"/>
      <w:marLeft w:val="0"/>
      <w:marRight w:val="0"/>
      <w:marTop w:val="0"/>
      <w:marBottom w:val="0"/>
      <w:divBdr>
        <w:top w:val="none" w:sz="0" w:space="0" w:color="auto"/>
        <w:left w:val="none" w:sz="0" w:space="0" w:color="auto"/>
        <w:bottom w:val="none" w:sz="0" w:space="0" w:color="auto"/>
        <w:right w:val="none" w:sz="0" w:space="0" w:color="auto"/>
      </w:divBdr>
    </w:div>
    <w:div w:id="20512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nb.nl/en/publications/research-publications/working-paper-2025/826-quantitative-easing-and-preferred-habitat-investors-in-the-euro-area-bond-market/" TargetMode="External"/><Relationship Id="rId18" Type="http://schemas.openxmlformats.org/officeDocument/2006/relationships/hyperlink" Target="https://www.dnb.nl/en/publications/research-publications/working-paper-2024/821-uncovering-the-effects-of-government-spending-through-tax-foresight/" TargetMode="External"/><Relationship Id="rId26" Type="http://schemas.openxmlformats.org/officeDocument/2006/relationships/hyperlink" Target="https://academic.oup.com/oep/article/77/1/119/7676156" TargetMode="External"/><Relationship Id="rId39" Type="http://schemas.openxmlformats.org/officeDocument/2006/relationships/hyperlink" Target="https://www.sciencedirect.com/science/article/pii/S0014292125000042" TargetMode="External"/><Relationship Id="rId21" Type="http://schemas.openxmlformats.org/officeDocument/2006/relationships/hyperlink" Target="https://www.dnb.nl/en/publications/research-publications/working-paper-2024/818-scenario-discovery-to-address-deep-uncertainty-in-monetary-policy/" TargetMode="External"/><Relationship Id="rId34" Type="http://schemas.openxmlformats.org/officeDocument/2006/relationships/hyperlink" Target="https://www.aeaweb.org/articles?id=10.1257/jel.20231683" TargetMode="External"/><Relationship Id="rId42" Type="http://schemas.openxmlformats.org/officeDocument/2006/relationships/hyperlink" Target="https://hdsr.mitpress.mit.edu/pub/yj9bmui7/release/1" TargetMode="External"/><Relationship Id="rId47" Type="http://schemas.openxmlformats.org/officeDocument/2006/relationships/hyperlink" Target="https://esb.nu/betaalbaarheid-van-woningen-sinds-2013-fors-verslechterd/" TargetMode="External"/><Relationship Id="rId50" Type="http://schemas.openxmlformats.org/officeDocument/2006/relationships/hyperlink" Target="https://direct.mit.edu/rest/article/106/4/1028/111190/A-Structural-Investigation-of-Quantitative-Easing" TargetMode="External"/><Relationship Id="rId55" Type="http://schemas.openxmlformats.org/officeDocument/2006/relationships/hyperlink" Target="mailto:Office.ebo@dnb.nl"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dnb.nl/en/publications/research-publications/working-paper-2024/823-residual-debt-insurance-and-mortgage-repayments/" TargetMode="External"/><Relationship Id="rId29" Type="http://schemas.openxmlformats.org/officeDocument/2006/relationships/hyperlink" Target="https://onlinelibrary.wiley.com/doi/10.1002/ijfe.2875?msockid=1e07400802cc640e051e550b039c6545" TargetMode="External"/><Relationship Id="rId11" Type="http://schemas.openxmlformats.org/officeDocument/2006/relationships/image" Target="media/image8.png"/><Relationship Id="rId24" Type="http://schemas.openxmlformats.org/officeDocument/2006/relationships/hyperlink" Target="https://www.dnb.nl/en/publications/research-publications/analysis/a-look-at-post-retirement-income/" TargetMode="External"/><Relationship Id="rId32" Type="http://schemas.openxmlformats.org/officeDocument/2006/relationships/hyperlink" Target="https://www.sciencedirect.com/science/article/pii/S026156062400038X" TargetMode="External"/><Relationship Id="rId37" Type="http://schemas.openxmlformats.org/officeDocument/2006/relationships/hyperlink" Target="https://www.sciencedirect.com/science/article/pii/S0014292123002751" TargetMode="External"/><Relationship Id="rId40" Type="http://schemas.openxmlformats.org/officeDocument/2006/relationships/hyperlink" Target="https://pubsonline.informs.org/doi/pdf/10.1287/mnsc.2023.00425" TargetMode="External"/><Relationship Id="rId45" Type="http://schemas.openxmlformats.org/officeDocument/2006/relationships/hyperlink" Target="https://esb.nu/systeemrisicos-banken-en-verzekeraars-hoger-dan-gedacht/" TargetMode="External"/><Relationship Id="rId53" Type="http://schemas.openxmlformats.org/officeDocument/2006/relationships/hyperlink" Target="https://www.dnb.nl/en/research/dnb-research-conferences/annual-research-conferences/2024-the-macroeconomic-effects-of-geopolitical-uncertainty/"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dnb.nl/en/publications/research-publications/working-paper-2024/820-fiscal-policy-and-inflation-in-the-euro-are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nb.nl/en/publications/research-publications/working-paper-2025/825-consumption-insurance-and-credit-shocks/" TargetMode="External"/><Relationship Id="rId22" Type="http://schemas.openxmlformats.org/officeDocument/2006/relationships/hyperlink" Target="https://www.dnb.nl/en/publications/research-publications/working-paper-2024/817-climate-linked-bonds/" TargetMode="External"/><Relationship Id="rId27" Type="http://schemas.openxmlformats.org/officeDocument/2006/relationships/hyperlink" Target="https://www.ijcb.org/journal/ijcb25q1a4.pdf" TargetMode="External"/><Relationship Id="rId30" Type="http://schemas.openxmlformats.org/officeDocument/2006/relationships/hyperlink" Target="https://onlinelibrary.wiley.com/doi/10.1111/obes.12628?msockid=1e07400802cc640e051e550b039c6545" TargetMode="External"/><Relationship Id="rId35" Type="http://schemas.openxmlformats.org/officeDocument/2006/relationships/hyperlink" Target="https://www.sciencedirect.com/science/article/pii/S2212096324000330" TargetMode="External"/><Relationship Id="rId43" Type="http://schemas.openxmlformats.org/officeDocument/2006/relationships/hyperlink" Target="https://www.dnb.nl/en/research/publications/" TargetMode="External"/><Relationship Id="rId48" Type="http://schemas.openxmlformats.org/officeDocument/2006/relationships/hyperlink" Target="https://able.adelaide.edu.au/economics-and-public-policy/2024-joint-workshops-in-macroeconomics" TargetMode="External"/><Relationship Id="rId56" Type="http://schemas.openxmlformats.org/officeDocument/2006/relationships/image" Target="media/image9.png"/><Relationship Id="rId8" Type="http://schemas.openxmlformats.org/officeDocument/2006/relationships/styles" Target="styles.xml"/><Relationship Id="rId51" Type="http://schemas.openxmlformats.org/officeDocument/2006/relationships/hyperlink" Target="https://www.dnb.nl/en/publications/research-publications/working-paper-2024/820-fiscal-policy-and-inflation-in-the-euro-area/" TargetMode="External"/><Relationship Id="rId3" Type="http://schemas.openxmlformats.org/officeDocument/2006/relationships/customXml" Target="../customXml/item3.xml"/><Relationship Id="rId12" Type="http://schemas.openxmlformats.org/officeDocument/2006/relationships/hyperlink" Target="https://www.dnb.nl/en/publications/research-publications/working-paper-2025/827-untangling-illiquidity-optimal-asset-allocation-with-private-asset-classes/" TargetMode="External"/><Relationship Id="rId17" Type="http://schemas.openxmlformats.org/officeDocument/2006/relationships/hyperlink" Target="https://www.dnb.nl/en/publications/research-publications/working-paper-2024/822-large-pension-funds-do-not-invest-more-effectively-than-smaller-pension-funds/" TargetMode="External"/><Relationship Id="rId25" Type="http://schemas.openxmlformats.org/officeDocument/2006/relationships/hyperlink" Target="https://www.tandfonline.com/doi/full/10.1080/00343404.2024.2442500" TargetMode="External"/><Relationship Id="rId33" Type="http://schemas.openxmlformats.org/officeDocument/2006/relationships/hyperlink" Target="https://www.sciencedirect.com/science/article/pii/S0261560624001098" TargetMode="External"/><Relationship Id="rId38" Type="http://schemas.openxmlformats.org/officeDocument/2006/relationships/hyperlink" Target="https://onlinelibrary.wiley.com/doi/10.1111/joca.12591" TargetMode="External"/><Relationship Id="rId46" Type="http://schemas.openxmlformats.org/officeDocument/2006/relationships/hyperlink" Target="https://www.vogon.nl/wp-content/uploads/2024/11/VOGON-Jaarboek-2024-2.pdf" TargetMode="External"/><Relationship Id="rId20" Type="http://schemas.openxmlformats.org/officeDocument/2006/relationships/hyperlink" Target="https://www.dnb.nl/en/publications/research-publications/working-paper-2024/819-dfrog-a-nowcasting-model-for-gdp-growth/" TargetMode="External"/><Relationship Id="rId41" Type="http://schemas.openxmlformats.org/officeDocument/2006/relationships/hyperlink" Target="https://www.cambridge.org/core/journals/journal-of-financial-literacy-and-wellbeing/article/financial-literacy-in-the-dnb-household-survey-insights-from-innovative-data-collection/F37EB6F2885B329125C84D5481201F82" TargetMode="External"/><Relationship Id="rId54" Type="http://schemas.openxmlformats.org/officeDocument/2006/relationships/hyperlink" Target="https://tinbergen.nl/media/event/program/xamsterdam_program.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dnb.nl/en/publications/research-publications/working-paper-2024/824-residual-mortgage-debt-insurance-and-defaults-in-the-netherlands/" TargetMode="External"/><Relationship Id="rId23" Type="http://schemas.openxmlformats.org/officeDocument/2006/relationships/hyperlink" Target="https://www.dnb.nl/en/publications/research-publications/working-paper-2024/816-green-transition-in-the-euro-area-domestic-and-global-factors/" TargetMode="External"/><Relationship Id="rId28" Type="http://schemas.openxmlformats.org/officeDocument/2006/relationships/hyperlink" Target="https://www.sciencedirect.com/science/article/pii/S0378426624002826" TargetMode="External"/><Relationship Id="rId36" Type="http://schemas.openxmlformats.org/officeDocument/2006/relationships/hyperlink" Target="https://www.sciencedirect.com/science/article/pii/S0261560624000822" TargetMode="External"/><Relationship Id="rId49" Type="http://schemas.openxmlformats.org/officeDocument/2006/relationships/hyperlink" Target="https://ausmacro.com/WAMS2024/"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direct.mit.edu/rest/article/106/4/1028/111190/A-Structural-Investigation-of-Quantitative-Easing" TargetMode="External"/><Relationship Id="rId44" Type="http://schemas.openxmlformats.org/officeDocument/2006/relationships/hyperlink" Target="https://www.suerf.org/wp-content/uploads/2024/05/SUERF-Policy-Brief-882_Boermans-et-al.pdf" TargetMode="External"/><Relationship Id="rId52" Type="http://schemas.openxmlformats.org/officeDocument/2006/relationships/hyperlink" Target="https://www.dnb.nl/publicaties/publicaties-onderzoek/working-paper-2024/817-climate-linked-bond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NB Taak Document" ma:contentTypeID="0x0101001A9AF98CE4D646E7BAD5E0A615FBC45700531684C5AA7845B1B8AD3BF3F8A4C4F8002B0E3288914FB24BAE7B302499C5810D" ma:contentTypeVersion="42" ma:contentTypeDescription="DNB Taak Document" ma:contentTypeScope="" ma:versionID="e51dfaf47636d7638e670fb1ccd5a314">
  <xsd:schema xmlns:xsd="http://www.w3.org/2001/XMLSchema" xmlns:xs="http://www.w3.org/2001/XMLSchema" xmlns:p="http://schemas.microsoft.com/office/2006/metadata/properties" xmlns:ns2="f072c7c8-c0ca-48e9-a9c4-2a029bcf732c" xmlns:ns3="http://schemas.dnb.nl/sharepoint" xmlns:ns4="fa8d15ea-f783-46e4-8ab1-6fe0cbf0d5f3" xmlns:ns5="e311a212-41bc-4187-a31d-46f798606195" targetNamespace="http://schemas.microsoft.com/office/2006/metadata/properties" ma:root="true" ma:fieldsID="46ec96a3db6eca527714cef96f2ae57d" ns2:_="" ns3:_="" ns4:_="" ns5:_="">
    <xsd:import namespace="f072c7c8-c0ca-48e9-a9c4-2a029bcf732c"/>
    <xsd:import namespace="http://schemas.dnb.nl/sharepoint"/>
    <xsd:import namespace="fa8d15ea-f783-46e4-8ab1-6fe0cbf0d5f3"/>
    <xsd:import namespace="e311a212-41bc-4187-a31d-46f798606195"/>
    <xsd:element name="properties">
      <xsd:complexType>
        <xsd:sequence>
          <xsd:element name="documentManagement">
            <xsd:complexType>
              <xsd:all>
                <xsd:element ref="ns2:DNB_AuteurFix" minOccurs="0"/>
                <xsd:element ref="ns2:DNB_Ontvanger" minOccurs="0"/>
                <xsd:element ref="ns2:DNB_CCOntvanger" minOccurs="0"/>
                <xsd:element ref="ns2:DNB_Opmerkingen" minOccurs="0"/>
                <xsd:element ref="ns2:DNB_Sjabloon" minOccurs="0"/>
                <xsd:element ref="ns2:DNB_EmTo" minOccurs="0"/>
                <xsd:element ref="ns2:DNB_EmFromName" minOccurs="0"/>
                <xsd:element ref="ns2:DNB_EmCC" minOccurs="0"/>
                <xsd:element ref="ns2:DNB_EmDate" minOccurs="0"/>
                <xsd:element ref="ns2:DNB_EmAttachCount" minOccurs="0"/>
                <xsd:element ref="ns2:DNB_EmAttachmentNames" minOccurs="0"/>
                <xsd:element ref="ns2:DNB_Distributie" minOccurs="0"/>
                <xsd:element ref="ns3:_dlc_DocId" minOccurs="0"/>
                <xsd:element ref="ns3:_dlc_DocIdUrl" minOccurs="0"/>
                <xsd:element ref="ns4:MediaServiceKeyPoints" minOccurs="0"/>
                <xsd:element ref="ns2:m2811a07b6c6fd47188d63596ada41d4" minOccurs="0"/>
                <xsd:element ref="ns4:MediaServiceAutoKeyPoints" minOccurs="0"/>
                <xsd:element ref="ns2:TaxCatchAll" minOccurs="0"/>
                <xsd:element ref="ns4:MediaServiceFastMetadata" minOccurs="0"/>
                <xsd:element ref="ns2:f416c62b8084a6924c1caabc0cb60db6" minOccurs="0"/>
                <xsd:element ref="ns4:MediaServiceMetadata" minOccurs="0"/>
                <xsd:element ref="ns2:_dlc_DocIdPersistId" minOccurs="0"/>
                <xsd:element ref="ns2:od8e6e3d90a0498c44d1c8f50b765f78" minOccurs="0"/>
                <xsd:element ref="ns2:TaxCatchAllLabel" minOccurs="0"/>
                <xsd:element ref="ns2:lda0e043566dcacd3d66b94d90c3f946" minOccurs="0"/>
                <xsd:element ref="ns5:SharedWithUsers" minOccurs="0"/>
                <xsd:element ref="ns5:SharedWithDetails" minOccurs="0"/>
                <xsd:element ref="ns4:MediaServiceObjectDetectorVersions" minOccurs="0"/>
                <xsd:element ref="ns2:necaf4278cf449b68edc9fc9fb7d70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2c7c8-c0ca-48e9-a9c4-2a029bcf732c" elementFormDefault="qualified">
    <xsd:import namespace="http://schemas.microsoft.com/office/2006/documentManagement/types"/>
    <xsd:import namespace="http://schemas.microsoft.com/office/infopath/2007/PartnerControls"/>
    <xsd:element name="DNB_AuteurFix" ma:index="4" nillable="true" ma:displayName="Author" ma:SearchPeopleOnly="false" ma:internalName="DNB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5" nillable="true" ma:displayName="Recipient" ma:SearchPeopleOnly="false" ma:internalName="DNB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6" nillable="true" ma:displayName="CC Recipient" ma:SearchPeopleOnly="false" ma:internalName="DNB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7" nillable="true" ma:displayName="Remarks" ma:hidden="true" ma:internalName="DNB_Opmerkingen">
      <xsd:simpleType>
        <xsd:restriction base="dms:Note"/>
      </xsd:simpleType>
    </xsd:element>
    <xsd:element name="DNB_Sjabloon" ma:index="8" nillable="true" ma:displayName="Sjabloon" ma:hidden="true" ma:internalName="DNB_Sjabloon">
      <xsd:simpleType>
        <xsd:restriction base="dms:Text"/>
      </xsd:simpleType>
    </xsd:element>
    <xsd:element name="DNB_EmTo" ma:index="9" nillable="true" ma:displayName="E-mail To" ma:hidden="true" ma:internalName="DNB_EmTo">
      <xsd:simpleType>
        <xsd:restriction base="dms:Note">
          <xsd:maxLength value="255"/>
        </xsd:restriction>
      </xsd:simpleType>
    </xsd:element>
    <xsd:element name="DNB_EmFromName" ma:index="10" nillable="true" ma:displayName="E-mail From" ma:hidden="true" ma:internalName="DNB_EmFromName">
      <xsd:simpleType>
        <xsd:restriction base="dms:Text"/>
      </xsd:simpleType>
    </xsd:element>
    <xsd:element name="DNB_EmCC" ma:index="11" nillable="true" ma:displayName="E-mail CC" ma:hidden="true" ma:internalName="DNB_EmCC">
      <xsd:simpleType>
        <xsd:restriction base="dms:Note">
          <xsd:maxLength value="255"/>
        </xsd:restriction>
      </xsd:simpleType>
    </xsd:element>
    <xsd:element name="DNB_EmDate" ma:index="12" nillable="true" ma:displayName="E-mail Date" ma:hidden="true" ma:internalName="DNB_EmDate">
      <xsd:simpleType>
        <xsd:restriction base="dms:DateTime"/>
      </xsd:simpleType>
    </xsd:element>
    <xsd:element name="DNB_EmAttachCount" ma:index="13" nillable="true" ma:displayName="E-mail Attachment Count" ma:hidden="true" ma:internalName="DNB_EmAttachCount">
      <xsd:simpleType>
        <xsd:restriction base="dms:Text"/>
      </xsd:simpleType>
    </xsd:element>
    <xsd:element name="DNB_EmAttachmentNames" ma:index="14" nillable="true" ma:displayName="E-mail Attachment Names" ma:hidden="true" ma:internalName="DNB_EmAttachmentNames">
      <xsd:simpleType>
        <xsd:restriction base="dms:Note">
          <xsd:maxLength value="255"/>
        </xsd:restriction>
      </xsd:simpleType>
    </xsd:element>
    <xsd:element name="DNB_Distributie" ma:index="15" nillable="true" ma:displayName="Distributie" ma:default="False" ma:internalName="DNB_Distributie">
      <xsd:simpleType>
        <xsd:restriction base="dms:Boolean"/>
      </xsd:simpleType>
    </xsd:element>
    <xsd:element name="m2811a07b6c6fd47188d63596ada41d4" ma:index="23" nillable="true" ma:taxonomy="true" ma:internalName="m2811a07b6c6fd47188d63596ada41d4" ma:taxonomyFieldName="DNB_Afdeling" ma:displayName="Department" ma:fieldId="{62811a07-b6c6-fd47-188d-63596ada41d4}"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TaxCatchAll" ma:index="25" nillable="true" ma:displayName="Taxonomy Catch All Column" ma:description="" ma:hidden="true" ma:list="{df3a7956-0ff7-4409-94af-dac5a3b60c9a}" ma:internalName="TaxCatchAll" ma:showField="CatchAllData"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f416c62b8084a6924c1caabc0cb60db6" ma:index="30" nillable="true" ma:taxonomy="true" ma:internalName="f416c62b8084a6924c1caabc0cb60db6" ma:taxonomyFieldName="DNB_Divisie" ma:displayName="Division" ma:fieldId="{f416c62b-8084-a692-4c1c-aabc0cb60db6}"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od8e6e3d90a0498c44d1c8f50b765f78" ma:index="33" ma:taxonomy="true" ma:internalName="od8e6e3d90a0498c44d1c8f50b765f78" ma:taxonomyFieldName="DNB_Taaklabel" ma:displayName="DNB Label" ma:default="" ma:fieldId="{8d8e6e3d-90a0-498c-44d1-c8f50b765f78}" ma:taxonomyMulti="true" ma:sspId="b8135cd8-dd77-44d6-bdcc-adbf336672a2" ma:termSetId="090b21a2-0fe0-4d6c-a6c2-301ed207ecf5" ma:anchorId="d7bb4236-c200-4097-9ed0-0d27cee2a1f4" ma:open="false" ma:isKeyword="false">
      <xsd:complexType>
        <xsd:sequence>
          <xsd:element ref="pc:Terms" minOccurs="0" maxOccurs="1"/>
        </xsd:sequence>
      </xsd:complexType>
    </xsd:element>
    <xsd:element name="TaxCatchAllLabel" ma:index="34" nillable="true" ma:displayName="Taxonomy Catch All Column1" ma:description="" ma:hidden="true" ma:list="{df3a7956-0ff7-4409-94af-dac5a3b60c9a}" ma:internalName="TaxCatchAllLabel" ma:readOnly="true" ma:showField="CatchAllDataLabel"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lda0e043566dcacd3d66b94d90c3f946" ma:index="36" nillable="true" ma:taxonomy="true" ma:internalName="lda0e043566dcacd3d66b94d90c3f946" ma:taxonomyFieldName="DNB_Status" ma:displayName="Document Set Status" ma:default="-1;#Lopend|9178452f-7c5d-4617-8a9d-cb6cbffbcbfc" ma:fieldId="{5da0e043-566d-cacd-3d66-b94d90c3f946}" ma:sspId="b8135cd8-dd77-44d6-bdcc-adbf336672a2" ma:termSetId="2eefb460-0590-4983-a377-038033dfb5f8" ma:anchorId="00000000-0000-0000-0000-000000000000" ma:open="false" ma:isKeyword="false">
      <xsd:complexType>
        <xsd:sequence>
          <xsd:element ref="pc:Terms" minOccurs="0" maxOccurs="1"/>
        </xsd:sequence>
      </xsd:complexType>
    </xsd:element>
    <xsd:element name="necaf4278cf449b68edc9fc9fb7d70f4" ma:index="40" nillable="true" ma:taxonomy="true" ma:internalName="necaf4278cf449b68edc9fc9fb7d70f4" ma:taxonomyFieldName="DNB_Organisatie" ma:displayName="Organisatie" ma:fieldId="{7ecaf427-8cf4-49b6-8edc-9fc9fb7d70f4}" ma:sspId="b8135cd8-dd77-44d6-bdcc-adbf336672a2" ma:termSetId="cff3295c-381d-4bfc-9d04-386d5e3f8dd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8d15ea-f783-46e4-8ab1-6fe0cbf0d5f3" elementFormDefault="qualified">
    <xsd:import namespace="http://schemas.microsoft.com/office/2006/documentManagement/types"/>
    <xsd:import namespace="http://schemas.microsoft.com/office/infopath/2007/PartnerControls"/>
    <xsd:element name="MediaServiceKeyPoints" ma:index="22" nillable="true" ma:displayName="KeyPoints" ma:internalName="MediaServiceKeyPoints"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1a212-41bc-4187-a31d-46f798606195"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e3213a6-3d3a-4fd1-b2e1-5dac641bbf5e" ContentTypeId="0x0101001A9AF98CE4D646E7BAD5E0A615FBC45700531684C5AA7845B1B8AD3BF3F8A4C4F8" PreviousValue="false"/>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NB_AuteurFix xmlns="f072c7c8-c0ca-48e9-a9c4-2a029bcf732c">
      <UserInfo>
        <DisplayName/>
        <AccountId xsi:nil="true"/>
        <AccountType/>
      </UserInfo>
    </DNB_AuteurFix>
    <DNB_Sjabloon xmlns="f072c7c8-c0ca-48e9-a9c4-2a029bcf732c" xsi:nil="true"/>
    <necaf4278cf449b68edc9fc9fb7d70f4 xmlns="f072c7c8-c0ca-48e9-a9c4-2a029bcf732c">
      <Terms xmlns="http://schemas.microsoft.com/office/infopath/2007/PartnerControls"/>
    </necaf4278cf449b68edc9fc9fb7d70f4>
    <DNB_Opmerkingen xmlns="f072c7c8-c0ca-48e9-a9c4-2a029bcf732c" xsi:nil="true"/>
    <f416c62b8084a6924c1caabc0cb60db6 xmlns="f072c7c8-c0ca-48e9-a9c4-2a029bcf732c">
      <Terms xmlns="http://schemas.microsoft.com/office/infopath/2007/PartnerControls">
        <TermInfo xmlns="http://schemas.microsoft.com/office/infopath/2007/PartnerControls">
          <TermName xmlns="http://schemas.microsoft.com/office/infopath/2007/PartnerControls">Economisch Beleid ＆ Onderzoek</TermName>
          <TermId xmlns="http://schemas.microsoft.com/office/infopath/2007/PartnerControls">0ec73827-a545-47a2-8bd2-5627e8ce3897</TermId>
        </TermInfo>
      </Terms>
    </f416c62b8084a6924c1caabc0cb60db6>
    <m2811a07b6c6fd47188d63596ada41d4 xmlns="f072c7c8-c0ca-48e9-a9c4-2a029bcf732c">
      <Terms xmlns="http://schemas.microsoft.com/office/infopath/2007/PartnerControls"/>
    </m2811a07b6c6fd47188d63596ada41d4>
    <lda0e043566dcacd3d66b94d90c3f946 xmlns="f072c7c8-c0ca-48e9-a9c4-2a029bcf732c">
      <Terms xmlns="http://schemas.microsoft.com/office/infopath/2007/PartnerControls">
        <TermInfo xmlns="http://schemas.microsoft.com/office/infopath/2007/PartnerControls">
          <TermName xmlns="http://schemas.microsoft.com/office/infopath/2007/PartnerControls">Lopend</TermName>
          <TermId xmlns="http://schemas.microsoft.com/office/infopath/2007/PartnerControls">9178452f-7c5d-4617-8a9d-cb6cbffbcbfc</TermId>
        </TermInfo>
      </Terms>
    </lda0e043566dcacd3d66b94d90c3f946>
    <DNB_EmTo xmlns="f072c7c8-c0ca-48e9-a9c4-2a029bcf732c" xsi:nil="true"/>
    <TaxCatchAll xmlns="f072c7c8-c0ca-48e9-a9c4-2a029bcf732c">
      <Value>88</Value>
      <Value>3</Value>
      <Value>4</Value>
    </TaxCatchAll>
    <DNB_EmAttachmentNames xmlns="f072c7c8-c0ca-48e9-a9c4-2a029bcf732c" xsi:nil="true"/>
    <DNB_EmCC xmlns="f072c7c8-c0ca-48e9-a9c4-2a029bcf732c" xsi:nil="true"/>
    <DNB_Distributie xmlns="f072c7c8-c0ca-48e9-a9c4-2a029bcf732c">false</DNB_Distributie>
    <DNB_EmDate xmlns="f072c7c8-c0ca-48e9-a9c4-2a029bcf732c" xsi:nil="true"/>
    <DNB_CCOntvanger xmlns="f072c7c8-c0ca-48e9-a9c4-2a029bcf732c">
      <UserInfo>
        <DisplayName/>
        <AccountId xsi:nil="true"/>
        <AccountType/>
      </UserInfo>
    </DNB_CCOntvanger>
    <DNB_Ontvanger xmlns="f072c7c8-c0ca-48e9-a9c4-2a029bcf732c">
      <UserInfo>
        <DisplayName/>
        <AccountId xsi:nil="true"/>
        <AccountType/>
      </UserInfo>
    </DNB_Ontvanger>
    <DNB_EmFromName xmlns="f072c7c8-c0ca-48e9-a9c4-2a029bcf732c" xsi:nil="true"/>
    <DNB_EmAttachCount xmlns="f072c7c8-c0ca-48e9-a9c4-2a029bcf732c" xsi:nil="true"/>
    <od8e6e3d90a0498c44d1c8f50b765f78 xmlns="f072c7c8-c0ca-48e9-a9c4-2a029bcf732c">
      <Terms xmlns="http://schemas.microsoft.com/office/infopath/2007/PartnerControls">
        <TermInfo xmlns="http://schemas.microsoft.com/office/infopath/2007/PartnerControls">
          <TermName xmlns="http://schemas.microsoft.com/office/infopath/2007/PartnerControls">DNB research newsletters</TermName>
          <TermId xmlns="http://schemas.microsoft.com/office/infopath/2007/PartnerControls">fff0be3f-7c5e-4609-af5c-f06d50cfa7c1</TermId>
        </TermInfo>
      </Terms>
    </od8e6e3d90a0498c44d1c8f50b765f78>
    <_dlc_DocId xmlns="http://schemas.dnb.nl/sharepoint">T043-1060746451-1075</_dlc_DocId>
    <_dlc_DocIdUrl xmlns="http://schemas.dnb.nl/sharepoint">
      <Url>https://dnbnl.sharepoint.com/sites/TK-EBO/AlgemeneEconomie/_layouts/15/DocIdRedir.aspx?ID=T043-1060746451-1075</Url>
      <Description>T043-1060746451-1075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E42AF-3DA8-429A-97FC-61938579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2c7c8-c0ca-48e9-a9c4-2a029bcf732c"/>
    <ds:schemaRef ds:uri="http://schemas.dnb.nl/sharepoint"/>
    <ds:schemaRef ds:uri="fa8d15ea-f783-46e4-8ab1-6fe0cbf0d5f3"/>
    <ds:schemaRef ds:uri="e311a212-41bc-4187-a31d-46f798606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284AA-78CC-4253-8F11-D6C18FB5886A}">
  <ds:schemaRefs>
    <ds:schemaRef ds:uri="Microsoft.SharePoint.Taxonomy.ContentTypeSync"/>
  </ds:schemaRefs>
</ds:datastoreItem>
</file>

<file path=customXml/itemProps3.xml><?xml version="1.0" encoding="utf-8"?>
<ds:datastoreItem xmlns:ds="http://schemas.openxmlformats.org/officeDocument/2006/customXml" ds:itemID="{76DCB2D6-7DF1-47EF-B007-1A31944F06DE}">
  <ds:schemaRefs>
    <ds:schemaRef ds:uri="http://schemas.openxmlformats.org/officeDocument/2006/bibliography"/>
  </ds:schemaRefs>
</ds:datastoreItem>
</file>

<file path=customXml/itemProps4.xml><?xml version="1.0" encoding="utf-8"?>
<ds:datastoreItem xmlns:ds="http://schemas.openxmlformats.org/officeDocument/2006/customXml" ds:itemID="{FE42869B-D79D-4B3E-9ACF-D0A310351FE8}">
  <ds:schemaRefs>
    <ds:schemaRef ds:uri="http://schemas.microsoft.com/sharepoint/events"/>
    <ds:schemaRef ds:uri=""/>
  </ds:schemaRefs>
</ds:datastoreItem>
</file>

<file path=customXml/itemProps5.xml><?xml version="1.0" encoding="utf-8"?>
<ds:datastoreItem xmlns:ds="http://schemas.openxmlformats.org/officeDocument/2006/customXml" ds:itemID="{4BC046E1-EDAB-44CD-88F1-DF481C050539}">
  <ds:schemaRefs>
    <ds:schemaRef ds:uri="http://schemas.microsoft.com/office/2006/metadata/properties"/>
    <ds:schemaRef ds:uri="http://schemas.microsoft.com/office/infopath/2007/PartnerControls"/>
    <ds:schemaRef ds:uri="f072c7c8-c0ca-48e9-a9c4-2a029bcf732c"/>
    <ds:schemaRef ds:uri="http://schemas.dnb.nl/sharepoint"/>
  </ds:schemaRefs>
</ds:datastoreItem>
</file>

<file path=customXml/itemProps6.xml><?xml version="1.0" encoding="utf-8"?>
<ds:datastoreItem xmlns:ds="http://schemas.openxmlformats.org/officeDocument/2006/customXml" ds:itemID="{E07EB1F1-AC1A-427C-89DF-717395FB598B}">
  <ds:schemaRefs>
    <ds:schemaRef ds:uri="http://schemas.microsoft.com/sharepoint/v3/contenttype/forms"/>
  </ds:schemaRefs>
</ds:datastoreItem>
</file>

<file path=docMetadata/LabelInfo.xml><?xml version="1.0" encoding="utf-8"?>
<clbl:labelList xmlns:clbl="http://schemas.microsoft.com/office/2020/mipLabelMetadata">
  <clbl:label id="{fa50054c-3b1c-47aa-aa28-890ddd3f58e8}" enabled="1" method="Standard" siteId="{9ecbd628-0072-405d-8567-32c6750b0d3e}"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3003</Words>
  <Characters>16521</Characters>
  <Application>Microsoft Office Word</Application>
  <DocSecurity>4</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DNB Research Newsletter December 2023</vt:lpstr>
      <vt:lpstr>DNB Research Newsletter December 2023</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DNB Research Newsletter December 2023</dc:title>
  <dc:creator>Kok-Stuijfzand, J.H.M. (Jolanda) (EBO_OND)</dc:creator>
  <cp:lastModifiedBy>Blijenburgh, N. van (Nicole) (EBO_AEB)</cp:lastModifiedBy>
  <cp:revision>2</cp:revision>
  <cp:lastPrinted>2023-10-05T11:35:00Z</cp:lastPrinted>
  <dcterms:created xsi:type="dcterms:W3CDTF">2025-02-06T09:40:00Z</dcterms:created>
  <dcterms:modified xsi:type="dcterms:W3CDTF">2025-02-06T09:40:00Z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0x0101001A9AF98CE4D646E7BAD5E0A615FBC45700531684C5AA7845B1B8AD3BF3F8A4C4F8002B0E3288914FB24BAE7B302499C5810D</vt:lpwstr>
  </property>
  <property fmtid="{D5CDD505-2E9C-101B-9397-08002B2CF9AE}" pid="3" name="DNB_Status">
    <vt:lpwstr>4;#Lopend|9178452f-7c5d-4617-8a9d-cb6cbffbcbfc</vt:lpwstr>
  </property>
  <property fmtid="{D5CDD505-2E9C-101B-9397-08002B2CF9AE}" pid="4" name="_dlc_DocIdItemGuid">
    <vt:lpwstr>202d027f-21cc-4412-9def-88c4e8552abd</vt:lpwstr>
  </property>
  <property fmtid="{D5CDD505-2E9C-101B-9397-08002B2CF9AE}" pid="5" name="DNB_Taaklabel">
    <vt:lpwstr>88;#DNB research newsletters|fff0be3f-7c5e-4609-af5c-f06d50cfa7c1</vt:lpwstr>
  </property>
  <property fmtid="{D5CDD505-2E9C-101B-9397-08002B2CF9AE}" pid="6" name="DNB_Organisatie">
    <vt:lpwstr/>
  </property>
  <property fmtid="{D5CDD505-2E9C-101B-9397-08002B2CF9AE}" pid="7" name="DNB_Divisie">
    <vt:lpwstr>3;#Economisch Beleid ＆ Onderzoek|0ec73827-a545-47a2-8bd2-5627e8ce3897</vt:lpwstr>
  </property>
  <property fmtid="{D5CDD505-2E9C-101B-9397-08002B2CF9AE}" pid="8" name="DNB_Afdeling">
    <vt:lpwstr/>
  </property>
</Properties>
</file>