
<file path=[Content_Types].xml><?xml version="1.0" encoding="utf-8"?>
<Types xmlns="http://schemas.openxmlformats.org/package/2006/content-types">
  <Default Extension="gif" ContentType="image/gif"/>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8B2C38" w:rsidR="0A6F1023" w:rsidP="0276260C" w:rsidRDefault="00F85B35" w14:paraId="6DD39925" w14:textId="16AE19F7">
      <w:pPr>
        <w:spacing w:line="227" w:lineRule="atLeast"/>
        <w:rPr>
          <w:rFonts w:cstheme="minorHAnsi"/>
          <w:lang w:val="en-US"/>
        </w:rPr>
      </w:pPr>
      <w:r w:rsidRPr="008B2C38">
        <w:rPr>
          <w:rFonts w:cstheme="minorHAnsi"/>
          <w:b/>
          <w:bCs/>
          <w:lang w:val="en-US"/>
        </w:rPr>
        <w:t>FAQ</w:t>
      </w:r>
      <w:r w:rsidRPr="008B2C38" w:rsidR="0A6F1023">
        <w:rPr>
          <w:rFonts w:cstheme="minorHAnsi"/>
          <w:b/>
          <w:bCs/>
          <w:lang w:val="en-US"/>
        </w:rPr>
        <w:t xml:space="preserve"> </w:t>
      </w:r>
      <w:r w:rsidRPr="008B2C38">
        <w:rPr>
          <w:rFonts w:cstheme="minorHAnsi"/>
          <w:b/>
          <w:bCs/>
          <w:lang w:val="en-US"/>
        </w:rPr>
        <w:t xml:space="preserve">1 </w:t>
      </w:r>
      <w:r w:rsidRPr="008B2C38" w:rsidR="0A6F1023">
        <w:rPr>
          <w:rFonts w:cstheme="minorHAnsi"/>
          <w:b/>
          <w:bCs/>
          <w:lang w:val="en-US"/>
        </w:rPr>
        <w:t>DNB Impact assessment YE2024</w:t>
      </w:r>
    </w:p>
    <w:tbl>
      <w:tblPr>
        <w:tblStyle w:val="ListTable1Light-Accent1"/>
        <w:tblW w:w="7655" w:type="dxa"/>
        <w:tblLayout w:type="fixed"/>
        <w:tblLook w:val="04A0" w:firstRow="1" w:lastRow="0" w:firstColumn="1" w:lastColumn="0" w:noHBand="0" w:noVBand="1"/>
      </w:tblPr>
      <w:tblGrid>
        <w:gridCol w:w="448"/>
        <w:gridCol w:w="3435"/>
        <w:gridCol w:w="3772"/>
      </w:tblGrid>
      <w:tr w:rsidRPr="008B2C38" w:rsidR="00333B07" w:rsidTr="3F4F5C52" w14:paraId="0F558B85" w14:textId="72C20A10">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448" w:type="dxa"/>
            <w:noWrap/>
            <w:tcMar/>
            <w:hideMark/>
          </w:tcPr>
          <w:p w:rsidRPr="008B2C38" w:rsidR="00333B07" w:rsidP="7FF1A407" w:rsidRDefault="00333B07" w14:paraId="208B3554" w14:textId="0E47E8B2">
            <w:pPr>
              <w:spacing w:line="227" w:lineRule="atLeast"/>
              <w:rPr>
                <w:rFonts w:cstheme="minorHAnsi"/>
              </w:rPr>
            </w:pPr>
            <w:r w:rsidRPr="008B2C38">
              <w:rPr>
                <w:rFonts w:cstheme="minorHAnsi"/>
              </w:rPr>
              <w:t>#</w:t>
            </w:r>
          </w:p>
        </w:tc>
        <w:tc>
          <w:tcPr>
            <w:cnfStyle w:val="000000000000" w:firstRow="0" w:lastRow="0" w:firstColumn="0" w:lastColumn="0" w:oddVBand="0" w:evenVBand="0" w:oddHBand="0" w:evenHBand="0" w:firstRowFirstColumn="0" w:firstRowLastColumn="0" w:lastRowFirstColumn="0" w:lastRowLastColumn="0"/>
            <w:tcW w:w="3435" w:type="dxa"/>
            <w:tcMar/>
            <w:hideMark/>
          </w:tcPr>
          <w:p w:rsidRPr="008B2C38" w:rsidR="00333B07" w:rsidP="4DEAE2B2" w:rsidRDefault="00333B07" w14:paraId="17899D5A" w14:textId="07DA54EC">
            <w:pPr>
              <w:spacing w:line="227" w:lineRule="atLeast"/>
              <w:cnfStyle w:val="100000000000" w:firstRow="1" w:lastRow="0" w:firstColumn="0" w:lastColumn="0" w:oddVBand="0" w:evenVBand="0" w:oddHBand="0" w:evenHBand="0" w:firstRowFirstColumn="0" w:firstRowLastColumn="0" w:lastRowFirstColumn="0" w:lastRowLastColumn="0"/>
              <w:rPr>
                <w:rFonts w:cstheme="minorHAnsi"/>
                <w:b w:val="0"/>
                <w:bCs w:val="0"/>
              </w:rPr>
            </w:pPr>
            <w:r w:rsidRPr="008B2C38">
              <w:rPr>
                <w:rFonts w:cstheme="minorHAnsi"/>
              </w:rPr>
              <w:t>Question</w:t>
            </w:r>
          </w:p>
        </w:tc>
        <w:tc>
          <w:tcPr>
            <w:cnfStyle w:val="000000000000" w:firstRow="0" w:lastRow="0" w:firstColumn="0" w:lastColumn="0" w:oddVBand="0" w:evenVBand="0" w:oddHBand="0" w:evenHBand="0" w:firstRowFirstColumn="0" w:firstRowLastColumn="0" w:lastRowFirstColumn="0" w:lastRowLastColumn="0"/>
            <w:tcW w:w="3772" w:type="dxa"/>
            <w:tcMar/>
            <w:hideMark/>
          </w:tcPr>
          <w:p w:rsidRPr="008B2C38" w:rsidR="00333B07" w:rsidP="00622780" w:rsidRDefault="00333B07" w14:paraId="15664443" w14:textId="756FDCEF">
            <w:pPr>
              <w:spacing w:line="227" w:lineRule="atLeast"/>
              <w:cnfStyle w:val="100000000000" w:firstRow="1" w:lastRow="0" w:firstColumn="0" w:lastColumn="0" w:oddVBand="0" w:evenVBand="0" w:oddHBand="0" w:evenHBand="0" w:firstRowFirstColumn="0" w:firstRowLastColumn="0" w:lastRowFirstColumn="0" w:lastRowLastColumn="0"/>
              <w:rPr>
                <w:rFonts w:cstheme="minorHAnsi"/>
                <w:b w:val="0"/>
                <w:bCs w:val="0"/>
              </w:rPr>
            </w:pPr>
            <w:proofErr w:type="spellStart"/>
            <w:r w:rsidRPr="008B2C38">
              <w:rPr>
                <w:rFonts w:cstheme="minorHAnsi"/>
              </w:rPr>
              <w:t>Answer</w:t>
            </w:r>
            <w:proofErr w:type="spellEnd"/>
            <w:r w:rsidRPr="008B2C38">
              <w:rPr>
                <w:rFonts w:cstheme="minorHAnsi"/>
              </w:rPr>
              <w:t xml:space="preserve"> DNB</w:t>
            </w:r>
          </w:p>
        </w:tc>
      </w:tr>
      <w:tr w:rsidRPr="00333B07" w:rsidR="00333B07" w:rsidTr="3F4F5C52" w14:paraId="2201E0E5" w14:textId="42DBACD4">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48" w:type="dxa"/>
            <w:noWrap/>
            <w:tcMar/>
          </w:tcPr>
          <w:p w:rsidRPr="008B2C38" w:rsidR="00333B07" w:rsidP="006A3641" w:rsidRDefault="00333B07" w14:paraId="5FD6243D" w14:textId="38E14CCF">
            <w:pPr>
              <w:spacing w:line="227" w:lineRule="atLeast"/>
              <w:rPr>
                <w:rFonts w:cstheme="minorHAnsi"/>
              </w:rPr>
            </w:pPr>
            <w:r w:rsidRPr="008B2C38">
              <w:rPr>
                <w:rFonts w:cstheme="minorHAnsi"/>
              </w:rPr>
              <w:t>1</w:t>
            </w:r>
          </w:p>
        </w:tc>
        <w:tc>
          <w:tcPr>
            <w:cnfStyle w:val="000000000000" w:firstRow="0" w:lastRow="0" w:firstColumn="0" w:lastColumn="0" w:oddVBand="0" w:evenVBand="0" w:oddHBand="0" w:evenHBand="0" w:firstRowFirstColumn="0" w:firstRowLastColumn="0" w:lastRowFirstColumn="0" w:lastRowLastColumn="0"/>
            <w:tcW w:w="3435" w:type="dxa"/>
            <w:tcMar/>
          </w:tcPr>
          <w:p w:rsidRPr="008B2C38" w:rsidR="00333B07" w:rsidP="268C2A50" w:rsidRDefault="00333B07" w14:paraId="2801C365" w14:textId="14C2A7F7">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r w:rsidRPr="008B2C38">
              <w:rPr>
                <w:rFonts w:eastAsia="Calibri" w:cstheme="minorHAnsi"/>
                <w:lang w:val="en-GB"/>
              </w:rPr>
              <w:t>When comparing the risk-free interest rate for the tenors, 16, 17 and 19 years, there is a difference with the current in force curve, while the tenor points 18 and 20 are the same.</w:t>
            </w:r>
          </w:p>
          <w:p w:rsidRPr="008B2C38" w:rsidR="00333B07" w:rsidP="268C2A50" w:rsidRDefault="00333B07" w14:paraId="610DD88D" w14:textId="04E0EE3D">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r w:rsidRPr="008B2C38">
              <w:rPr>
                <w:rFonts w:eastAsia="Calibri" w:cstheme="minorHAnsi"/>
                <w:lang w:val="en-GB"/>
              </w:rPr>
              <w:t xml:space="preserve"> </w:t>
            </w:r>
          </w:p>
          <w:p w:rsidRPr="008B2C38" w:rsidR="00333B07" w:rsidP="268C2A50" w:rsidRDefault="00333B07" w14:paraId="0AE0DFA9" w14:textId="6510AA73">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r w:rsidRPr="008B2C38">
              <w:rPr>
                <w:rFonts w:eastAsia="Calibri" w:cstheme="minorHAnsi"/>
                <w:lang w:val="en-GB"/>
              </w:rPr>
              <w:t>We would have expected that the interpolation in the liquid part of the curve wouldn’t have changed the curve in that part?</w:t>
            </w:r>
          </w:p>
          <w:p w:rsidRPr="008B2C38" w:rsidR="00333B07" w:rsidP="006A3641" w:rsidRDefault="00333B07" w14:paraId="35391778" w14:textId="3A04FBDD">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cnfStyle w:val="000000000000" w:firstRow="0" w:lastRow="0" w:firstColumn="0" w:lastColumn="0" w:oddVBand="0" w:evenVBand="0" w:oddHBand="0" w:evenHBand="0" w:firstRowFirstColumn="0" w:firstRowLastColumn="0" w:lastRowFirstColumn="0" w:lastRowLastColumn="0"/>
            <w:tcW w:w="3772" w:type="dxa"/>
            <w:tcMar/>
          </w:tcPr>
          <w:p w:rsidRPr="008B2C38" w:rsidR="00333B07" w:rsidP="006A3641" w:rsidRDefault="00333B07" w14:paraId="6A46323B" w14:textId="598DE114">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r w:rsidRPr="008B2C38">
              <w:rPr>
                <w:rFonts w:eastAsia="Calibri" w:cstheme="minorHAnsi"/>
                <w:lang w:val="en-US"/>
              </w:rPr>
              <w:t>The reason for the difference in rates before the LLP/FSP is that the Smith Wilsen method for interpolation and extrapolation is replaced with the alternative extrapolation method. The alternative extrapolation method assumes a constant forward rate between two DLT points, but SW doesn’t.</w:t>
            </w:r>
          </w:p>
        </w:tc>
      </w:tr>
      <w:tr w:rsidRPr="00333B07" w:rsidR="00333B07" w:rsidTr="3F4F5C52" w14:paraId="7061F576" w14:textId="6B472615">
        <w:trPr>
          <w:trHeight w:val="300"/>
        </w:trPr>
        <w:tc>
          <w:tcPr>
            <w:cnfStyle w:val="001000000000" w:firstRow="0" w:lastRow="0" w:firstColumn="1" w:lastColumn="0" w:oddVBand="0" w:evenVBand="0" w:oddHBand="0" w:evenHBand="0" w:firstRowFirstColumn="0" w:firstRowLastColumn="0" w:lastRowFirstColumn="0" w:lastRowLastColumn="0"/>
            <w:tcW w:w="448" w:type="dxa"/>
            <w:noWrap/>
            <w:tcMar/>
          </w:tcPr>
          <w:p w:rsidRPr="008B2C38" w:rsidR="00333B07" w:rsidP="3F4F5C52" w:rsidRDefault="00333B07" w14:paraId="33453105" w14:textId="5EBBBEEC">
            <w:pPr>
              <w:spacing w:line="227" w:lineRule="atLeast"/>
              <w:rPr>
                <w:rFonts w:cs="Calibri" w:cstheme="minorAscii"/>
              </w:rPr>
            </w:pPr>
            <w:r w:rsidRPr="3F4F5C52" w:rsidR="4B6DF610">
              <w:rPr>
                <w:rFonts w:cs="Calibri" w:cstheme="minorAscii"/>
              </w:rPr>
              <w:t>2</w:t>
            </w:r>
          </w:p>
        </w:tc>
        <w:tc>
          <w:tcPr>
            <w:cnfStyle w:val="000000000000" w:firstRow="0" w:lastRow="0" w:firstColumn="0" w:lastColumn="0" w:oddVBand="0" w:evenVBand="0" w:oddHBand="0" w:evenHBand="0" w:firstRowFirstColumn="0" w:firstRowLastColumn="0" w:lastRowFirstColumn="0" w:lastRowLastColumn="0"/>
            <w:tcW w:w="3435" w:type="dxa"/>
            <w:tcMar/>
          </w:tcPr>
          <w:p w:rsidRPr="008B2C38" w:rsidR="00333B07" w:rsidP="268C2A50" w:rsidRDefault="00333B07" w14:paraId="7B3E8E23" w14:textId="4A05642F">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8B2C38">
              <w:rPr>
                <w:rFonts w:eastAsia="Calibri" w:cstheme="minorHAnsi"/>
                <w:lang w:val="en-GB"/>
              </w:rPr>
              <w:t>The security protocols do not allow us to open external macros included in e</w:t>
            </w:r>
            <w:r>
              <w:rPr>
                <w:rFonts w:eastAsia="Calibri" w:cstheme="minorHAnsi"/>
                <w:lang w:val="en-GB"/>
              </w:rPr>
              <w:t>xc</w:t>
            </w:r>
            <w:r w:rsidRPr="008B2C38">
              <w:rPr>
                <w:rFonts w:eastAsia="Calibri" w:cstheme="minorHAnsi"/>
                <w:lang w:val="en-GB"/>
              </w:rPr>
              <w:t>el files.</w:t>
            </w:r>
          </w:p>
          <w:p w:rsidRPr="008B2C38" w:rsidR="00333B07" w:rsidP="268C2A50" w:rsidRDefault="00333B07" w14:paraId="74BB5B0B" w14:textId="02D69140">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8B2C38">
              <w:rPr>
                <w:rFonts w:eastAsia="Calibri" w:cstheme="minorHAnsi"/>
                <w:lang w:val="en-GB"/>
              </w:rPr>
              <w:t>Regarding the discount rate, could you provide us with the details of the LLFR (and other elements of the relevant risk free interest rate for the euro) enabling us to replicate the curve and the remainder of the technical information excel.</w:t>
            </w:r>
          </w:p>
          <w:p w:rsidRPr="008B2C38" w:rsidR="00333B07" w:rsidP="268C2A50" w:rsidRDefault="00333B07" w14:paraId="24F4CABD" w14:textId="36C5F893">
            <w:pP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p>
        </w:tc>
        <w:tc>
          <w:tcPr>
            <w:cnfStyle w:val="000000000000" w:firstRow="0" w:lastRow="0" w:firstColumn="0" w:lastColumn="0" w:oddVBand="0" w:evenVBand="0" w:oddHBand="0" w:evenHBand="0" w:firstRowFirstColumn="0" w:firstRowLastColumn="0" w:lastRowFirstColumn="0" w:lastRowLastColumn="0"/>
            <w:tcW w:w="3772" w:type="dxa"/>
            <w:tcMar/>
          </w:tcPr>
          <w:p w:rsidRPr="008B2C38" w:rsidR="00333B07" w:rsidP="268C2A50" w:rsidRDefault="00333B07" w14:paraId="30352D2E" w14:textId="5D7735B6">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8B2C38">
              <w:rPr>
                <w:rFonts w:eastAsia="Calibri" w:cstheme="minorHAnsi"/>
                <w:lang w:val="en-US"/>
              </w:rPr>
              <w:t>Note that this information is already provided in the hidden sheets of the Technical Information file, see tab “2024 YE Structures”. Note that the 13 and 14Y tenors for the Euro have mistakenly been identified as DLT (see question 11).</w:t>
            </w:r>
          </w:p>
          <w:p w:rsidRPr="008B2C38" w:rsidR="00333B07" w:rsidP="268C2A50" w:rsidRDefault="00333B07" w14:paraId="55C9655F" w14:textId="1F144B5E">
            <w:pPr>
              <w:spacing w:line="227" w:lineRule="atLeast"/>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Pr="00333B07" w:rsidR="00333B07" w:rsidTr="3F4F5C52" w14:paraId="2FF09586" w14:textId="6C2DBDE4">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48" w:type="dxa"/>
            <w:noWrap/>
            <w:tcMar/>
          </w:tcPr>
          <w:p w:rsidRPr="008B2C38" w:rsidR="00333B07" w:rsidP="3F4F5C52" w:rsidRDefault="00333B07" w14:paraId="3D1D7467" w14:textId="54A08290">
            <w:pPr>
              <w:spacing w:line="227" w:lineRule="atLeast"/>
              <w:rPr>
                <w:rFonts w:cs="Calibri" w:cstheme="minorAscii"/>
              </w:rPr>
            </w:pPr>
            <w:r w:rsidRPr="3F4F5C52" w:rsidR="4B6DF610">
              <w:rPr>
                <w:rFonts w:cs="Calibri" w:cstheme="minorAscii"/>
              </w:rPr>
              <w:t>3</w:t>
            </w:r>
          </w:p>
        </w:tc>
        <w:tc>
          <w:tcPr>
            <w:cnfStyle w:val="000000000000" w:firstRow="0" w:lastRow="0" w:firstColumn="0" w:lastColumn="0" w:oddVBand="0" w:evenVBand="0" w:oddHBand="0" w:evenHBand="0" w:firstRowFirstColumn="0" w:firstRowLastColumn="0" w:lastRowFirstColumn="0" w:lastRowLastColumn="0"/>
            <w:tcW w:w="3435" w:type="dxa"/>
            <w:tcMar/>
          </w:tcPr>
          <w:p w:rsidRPr="008B2C38" w:rsidR="00333B07" w:rsidP="268C2A50" w:rsidRDefault="00333B07" w14:paraId="2E076AA3" w14:textId="41A56ACD">
            <w:pPr>
              <w:spacing w:line="227" w:lineRule="atLeast"/>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8B2C38">
              <w:rPr>
                <w:rFonts w:eastAsia="Calibri" w:cstheme="minorHAnsi"/>
                <w:lang w:val="en-GB"/>
              </w:rPr>
              <w:t>In calculating the CSSR, could DNB be specific whether the unit linked and mortgage savings are to be included in the formula or whether they should be disregarded in this formula?</w:t>
            </w:r>
          </w:p>
        </w:tc>
        <w:tc>
          <w:tcPr>
            <w:cnfStyle w:val="000000000000" w:firstRow="0" w:lastRow="0" w:firstColumn="0" w:lastColumn="0" w:oddVBand="0" w:evenVBand="0" w:oddHBand="0" w:evenHBand="0" w:firstRowFirstColumn="0" w:firstRowLastColumn="0" w:lastRowFirstColumn="0" w:lastRowLastColumn="0"/>
            <w:tcW w:w="3772" w:type="dxa"/>
            <w:tcMar/>
          </w:tcPr>
          <w:p w:rsidRPr="008B2C38" w:rsidR="00333B07" w:rsidP="006A3641" w:rsidRDefault="00333B07" w14:paraId="6D92B32C" w14:textId="74CBF0C9">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r w:rsidRPr="008B2C38">
              <w:rPr>
                <w:rFonts w:eastAsia="Calibri" w:cstheme="minorHAnsi"/>
                <w:lang w:val="en-GB"/>
              </w:rPr>
              <w:t>Footnote 8 on page 6 of the technical specification specifies that only investments to which the undertaking is materially exposed to spread risk on these assets should be included. As such, it depends on who bears the spread risk, the undertaking or the policyholder.</w:t>
            </w:r>
          </w:p>
        </w:tc>
      </w:tr>
      <w:tr w:rsidRPr="00333B07" w:rsidR="00333B07" w:rsidTr="3F4F5C52" w14:paraId="4B9667F5" w14:textId="2376E975">
        <w:trPr>
          <w:trHeight w:val="300"/>
        </w:trPr>
        <w:tc>
          <w:tcPr>
            <w:cnfStyle w:val="001000000000" w:firstRow="0" w:lastRow="0" w:firstColumn="1" w:lastColumn="0" w:oddVBand="0" w:evenVBand="0" w:oddHBand="0" w:evenHBand="0" w:firstRowFirstColumn="0" w:firstRowLastColumn="0" w:lastRowFirstColumn="0" w:lastRowLastColumn="0"/>
            <w:tcW w:w="448" w:type="dxa"/>
            <w:noWrap/>
            <w:tcMar/>
          </w:tcPr>
          <w:p w:rsidRPr="008B2C38" w:rsidR="00333B07" w:rsidP="3F4F5C52" w:rsidRDefault="00333B07" w14:paraId="4E87A9B8" w14:textId="72E2EB2D">
            <w:pPr>
              <w:spacing w:line="227" w:lineRule="atLeast"/>
              <w:rPr>
                <w:rFonts w:cs="Calibri" w:cstheme="minorAscii"/>
              </w:rPr>
            </w:pPr>
            <w:r w:rsidRPr="3F4F5C52" w:rsidR="3531C86C">
              <w:rPr>
                <w:rFonts w:cs="Calibri" w:cstheme="minorAscii"/>
              </w:rPr>
              <w:t>4</w:t>
            </w:r>
          </w:p>
        </w:tc>
        <w:tc>
          <w:tcPr>
            <w:cnfStyle w:val="000000000000" w:firstRow="0" w:lastRow="0" w:firstColumn="0" w:lastColumn="0" w:oddVBand="0" w:evenVBand="0" w:oddHBand="0" w:evenHBand="0" w:firstRowFirstColumn="0" w:firstRowLastColumn="0" w:lastRowFirstColumn="0" w:lastRowLastColumn="0"/>
            <w:tcW w:w="3435" w:type="dxa"/>
            <w:tcMar/>
          </w:tcPr>
          <w:p w:rsidRPr="008B2C38" w:rsidR="00333B07" w:rsidP="268C2A50" w:rsidRDefault="00333B07" w14:paraId="145EF10D" w14:textId="4743C84A">
            <w:pP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8B2C38">
              <w:rPr>
                <w:rFonts w:eastAsia="Calibri" w:cstheme="minorHAnsi"/>
                <w:lang w:val="en-GB"/>
              </w:rPr>
              <w:t>Could DNB provide us with the details of the calculation of the risk corrected spread? This would enable us to see how to replicate the risk corrected spread and whether the approach taken would result in the same outcomes?</w:t>
            </w:r>
          </w:p>
        </w:tc>
        <w:tc>
          <w:tcPr>
            <w:cnfStyle w:val="000000000000" w:firstRow="0" w:lastRow="0" w:firstColumn="0" w:lastColumn="0" w:oddVBand="0" w:evenVBand="0" w:oddHBand="0" w:evenHBand="0" w:firstRowFirstColumn="0" w:firstRowLastColumn="0" w:lastRowFirstColumn="0" w:lastRowLastColumn="0"/>
            <w:tcW w:w="3772" w:type="dxa"/>
            <w:tcMar/>
          </w:tcPr>
          <w:p w:rsidRPr="008B2C38" w:rsidR="00333B07" w:rsidP="268C2A50" w:rsidRDefault="00333B07" w14:paraId="0B585818" w14:textId="2B4AC4B1">
            <w:pPr>
              <w:spacing w:line="227" w:lineRule="atLeast"/>
              <w:cnfStyle w:val="000000000000" w:firstRow="0" w:lastRow="0" w:firstColumn="0" w:lastColumn="0" w:oddVBand="0" w:evenVBand="0" w:oddHBand="0" w:evenHBand="0" w:firstRowFirstColumn="0" w:firstRowLastColumn="0" w:lastRowFirstColumn="0" w:lastRowLastColumn="0"/>
              <w:rPr>
                <w:rFonts w:cstheme="minorHAnsi"/>
                <w:lang w:val="en-US"/>
              </w:rPr>
            </w:pPr>
            <w:r w:rsidRPr="008B2C38">
              <w:rPr>
                <w:rFonts w:cstheme="minorHAnsi"/>
                <w:lang w:val="en-US"/>
              </w:rPr>
              <w:t xml:space="preserve">The details of the calculation of the risk corrected spread can be found in paragraphs 37 – 40 on page 9 of the technical specification. </w:t>
            </w:r>
          </w:p>
        </w:tc>
      </w:tr>
      <w:tr w:rsidRPr="00333B07" w:rsidR="00333B07" w:rsidTr="3F4F5C52" w14:paraId="11AEEF8B" w14:textId="532B0EEB">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48" w:type="dxa"/>
            <w:noWrap/>
            <w:tcMar/>
          </w:tcPr>
          <w:p w:rsidRPr="008B2C38" w:rsidR="00333B07" w:rsidP="3F4F5C52" w:rsidRDefault="00333B07" w14:paraId="0DC758CE" w14:textId="44ECE1F5">
            <w:pPr>
              <w:spacing w:line="227" w:lineRule="atLeast"/>
              <w:rPr>
                <w:rFonts w:cs="Calibri" w:cstheme="minorAscii"/>
                <w:lang w:val="en-US"/>
              </w:rPr>
            </w:pPr>
            <w:r w:rsidRPr="3F4F5C52" w:rsidR="42995D2F">
              <w:rPr>
                <w:rFonts w:cs="Calibri" w:cstheme="minorAscii"/>
                <w:lang w:val="en-US"/>
              </w:rPr>
              <w:t>5</w:t>
            </w:r>
          </w:p>
        </w:tc>
        <w:tc>
          <w:tcPr>
            <w:cnfStyle w:val="000000000000" w:firstRow="0" w:lastRow="0" w:firstColumn="0" w:lastColumn="0" w:oddVBand="0" w:evenVBand="0" w:oddHBand="0" w:evenHBand="0" w:firstRowFirstColumn="0" w:firstRowLastColumn="0" w:lastRowFirstColumn="0" w:lastRowLastColumn="0"/>
            <w:tcW w:w="3435" w:type="dxa"/>
            <w:tcMar/>
          </w:tcPr>
          <w:p w:rsidRPr="008B2C38" w:rsidR="00333B07" w:rsidP="008B2C38" w:rsidRDefault="00333B07" w14:paraId="24FE7876" w14:textId="50475CF9">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r w:rsidRPr="008B2C38">
              <w:rPr>
                <w:rFonts w:eastAsia="Calibri" w:cstheme="minorHAnsi"/>
                <w:color w:val="000000" w:themeColor="text1"/>
                <w:lang w:val="en-US"/>
              </w:rPr>
              <w:t>Should index-linked and unit-linked assets be included in the PVBP(MV_FI) calculations?</w:t>
            </w:r>
          </w:p>
          <w:p w:rsidRPr="008B2C38" w:rsidR="00333B07" w:rsidP="008B2C38" w:rsidRDefault="00333B07" w14:paraId="40C63498" w14:textId="3B7E070C">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r w:rsidRPr="008B2C38">
              <w:rPr>
                <w:rFonts w:eastAsia="Calibri" w:cstheme="minorHAnsi"/>
                <w:color w:val="000000" w:themeColor="text1"/>
                <w:lang w:val="en-US"/>
              </w:rPr>
              <w:t xml:space="preserve"> </w:t>
            </w:r>
          </w:p>
          <w:p w:rsidRPr="008B2C38" w:rsidR="00333B07" w:rsidP="008B2C38" w:rsidRDefault="00333B07" w14:paraId="6BC3C54A" w14:textId="05AEC76F">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r w:rsidRPr="008B2C38">
              <w:rPr>
                <w:rFonts w:eastAsia="Calibri" w:cstheme="minorHAnsi"/>
                <w:color w:val="000000" w:themeColor="text1"/>
                <w:lang w:val="en-US"/>
              </w:rPr>
              <w:t xml:space="preserve">As per the technical specifications (paragraph 29-35) we are </w:t>
            </w:r>
            <w:r w:rsidRPr="008B2C38">
              <w:rPr>
                <w:rFonts w:eastAsia="Calibri" w:cstheme="minorHAnsi"/>
                <w:color w:val="000000" w:themeColor="text1"/>
                <w:lang w:val="en-US"/>
              </w:rPr>
              <w:lastRenderedPageBreak/>
              <w:t>preparing the PVBP(MV_FI). Unclear from the current specifications is whether the index-linked and unit-linked assets should be included in this assessment. In previous documentation (EIOPA 19/511, dated 15 October 2019, Technical Specifications of the information request on the 2020 Review of Solvency II - Volatility adjustment) it was stated that the index-linked and unit-linked assets were to be included (see paragraph 71 in mentioned document).</w:t>
            </w:r>
          </w:p>
          <w:p w:rsidRPr="008B2C38" w:rsidR="00333B07" w:rsidP="008B2C38" w:rsidRDefault="00333B07" w14:paraId="5AF145D2" w14:textId="31E5D681">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cnfStyle w:val="000000000000" w:firstRow="0" w:lastRow="0" w:firstColumn="0" w:lastColumn="0" w:oddVBand="0" w:evenVBand="0" w:oddHBand="0" w:evenHBand="0" w:firstRowFirstColumn="0" w:firstRowLastColumn="0" w:lastRowFirstColumn="0" w:lastRowLastColumn="0"/>
            <w:tcW w:w="3772" w:type="dxa"/>
            <w:tcMar/>
          </w:tcPr>
          <w:p w:rsidRPr="008B2C38" w:rsidR="00333B07" w:rsidP="008B2C38" w:rsidRDefault="00333B07" w14:paraId="75106992" w14:textId="4EAC9EBB">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r w:rsidRPr="008B2C38">
              <w:rPr>
                <w:rFonts w:cstheme="minorHAnsi"/>
                <w:lang w:val="en-US"/>
              </w:rPr>
              <w:lastRenderedPageBreak/>
              <w:t xml:space="preserve">Footnote 8 on page 6 of the technical specification specifies that only investments to which the undertaking is materially exposed to spread risk on these assets should be included. As such, it depends on who bears the </w:t>
            </w:r>
            <w:r w:rsidRPr="008B2C38">
              <w:rPr>
                <w:rFonts w:cstheme="minorHAnsi"/>
                <w:lang w:val="en-US"/>
              </w:rPr>
              <w:lastRenderedPageBreak/>
              <w:t>spread risk, the undertaking or the policyholder.</w:t>
            </w:r>
          </w:p>
        </w:tc>
      </w:tr>
      <w:tr w:rsidRPr="00333B07" w:rsidR="00333B07" w:rsidTr="3F4F5C52" w14:paraId="4DD6F822" w14:textId="72549971">
        <w:trPr>
          <w:trHeight w:val="300"/>
        </w:trPr>
        <w:tc>
          <w:tcPr>
            <w:cnfStyle w:val="001000000000" w:firstRow="0" w:lastRow="0" w:firstColumn="1" w:lastColumn="0" w:oddVBand="0" w:evenVBand="0" w:oddHBand="0" w:evenHBand="0" w:firstRowFirstColumn="0" w:firstRowLastColumn="0" w:lastRowFirstColumn="0" w:lastRowLastColumn="0"/>
            <w:tcW w:w="448" w:type="dxa"/>
            <w:noWrap/>
            <w:tcMar/>
          </w:tcPr>
          <w:p w:rsidRPr="008B2C38" w:rsidR="00333B07" w:rsidP="3F4F5C52" w:rsidRDefault="00333B07" w14:paraId="4498D634" w14:textId="575C5D07">
            <w:pPr>
              <w:spacing w:line="227" w:lineRule="atLeast"/>
              <w:rPr>
                <w:rFonts w:cs="Calibri" w:cstheme="minorAscii"/>
                <w:lang w:val="en-US"/>
              </w:rPr>
            </w:pPr>
            <w:r w:rsidRPr="3F4F5C52" w:rsidR="17FD28B3">
              <w:rPr>
                <w:rFonts w:cs="Calibri" w:cstheme="minorAscii"/>
                <w:lang w:val="en-US"/>
              </w:rPr>
              <w:t>6</w:t>
            </w:r>
          </w:p>
        </w:tc>
        <w:tc>
          <w:tcPr>
            <w:cnfStyle w:val="000000000000" w:firstRow="0" w:lastRow="0" w:firstColumn="0" w:lastColumn="0" w:oddVBand="0" w:evenVBand="0" w:oddHBand="0" w:evenHBand="0" w:firstRowFirstColumn="0" w:firstRowLastColumn="0" w:lastRowFirstColumn="0" w:lastRowLastColumn="0"/>
            <w:tcW w:w="3435" w:type="dxa"/>
            <w:tcMar/>
          </w:tcPr>
          <w:p w:rsidRPr="008B2C38" w:rsidR="00333B07" w:rsidP="008B2C38" w:rsidRDefault="00333B07" w14:paraId="311C39C3" w14:textId="7F2AEB10">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8B2C38">
              <w:rPr>
                <w:rFonts w:eastAsia="Calibri" w:cstheme="minorHAnsi"/>
                <w:lang w:val="en-GB"/>
              </w:rPr>
              <w:t>In the context of the Interest rate risk scenario, DNB request the insurers to keep the current approach with the exception of the use of the alternative extrapolation method.</w:t>
            </w:r>
          </w:p>
          <w:p w:rsidRPr="008B2C38" w:rsidR="00333B07" w:rsidP="008B2C38" w:rsidRDefault="00333B07" w14:paraId="3064317E" w14:textId="145794D7">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8B2C38">
              <w:rPr>
                <w:rFonts w:eastAsia="Calibri" w:cstheme="minorHAnsi"/>
                <w:lang w:val="en-GB"/>
              </w:rPr>
              <w:t xml:space="preserve"> </w:t>
            </w:r>
          </w:p>
          <w:p w:rsidRPr="008B2C38" w:rsidR="00333B07" w:rsidP="008B2C38" w:rsidRDefault="00333B07" w14:paraId="061210D3" w14:textId="5D16008D">
            <w:pP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r w:rsidRPr="008B2C38">
              <w:rPr>
                <w:rFonts w:eastAsia="Calibri" w:cstheme="minorHAnsi"/>
                <w:lang w:val="en-GB"/>
              </w:rPr>
              <w:t xml:space="preserve">Are participants allowed to include in the impact assessment already the latest information to them available, such as? The inclusion of the changed formulas will provide meaningful information to the participants using the standard formula esp. in the context of their interest rate </w:t>
            </w:r>
            <w:proofErr w:type="spellStart"/>
            <w:r w:rsidRPr="008B2C38">
              <w:rPr>
                <w:rFonts w:eastAsia="Calibri" w:cstheme="minorHAnsi"/>
                <w:lang w:val="en-GB"/>
              </w:rPr>
              <w:t>riskmanagement</w:t>
            </w:r>
            <w:proofErr w:type="spellEnd"/>
            <w:r w:rsidRPr="008B2C38">
              <w:rPr>
                <w:rFonts w:eastAsia="Calibri" w:cstheme="minorHAnsi"/>
                <w:lang w:val="en-GB"/>
              </w:rPr>
              <w:t>?</w:t>
            </w:r>
          </w:p>
          <w:p w:rsidRPr="008B2C38" w:rsidR="00333B07" w:rsidP="008B2C38" w:rsidRDefault="00333B07" w14:paraId="23A29073" w14:textId="054AF8B4">
            <w:pPr>
              <w:cnfStyle w:val="000000000000" w:firstRow="0" w:lastRow="0" w:firstColumn="0" w:lastColumn="0" w:oddVBand="0" w:evenVBand="0" w:oddHBand="0" w:evenHBand="0" w:firstRowFirstColumn="0" w:firstRowLastColumn="0" w:lastRowFirstColumn="0" w:lastRowLastColumn="0"/>
              <w:rPr>
                <w:rFonts w:eastAsia="Calibri" w:cstheme="minorHAnsi"/>
                <w:lang w:val="en-GB"/>
              </w:rPr>
            </w:pPr>
          </w:p>
          <w:p w:rsidRPr="008B2C38" w:rsidR="00333B07" w:rsidP="008B2C38" w:rsidRDefault="00333B07" w14:paraId="53F54F9A" w14:textId="307FF073">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8B2C38">
              <w:rPr>
                <w:rFonts w:eastAsia="Calibri" w:cstheme="minorHAnsi"/>
                <w:lang w:val="en-GB"/>
              </w:rPr>
              <w:t xml:space="preserve">The calibration of the term </w:t>
            </w:r>
            <w:proofErr w:type="spellStart"/>
            <w:r w:rsidRPr="008B2C38">
              <w:rPr>
                <w:rFonts w:eastAsia="Calibri" w:cstheme="minorHAnsi"/>
                <w:lang w:val="en-GB"/>
              </w:rPr>
              <w:t>dependend</w:t>
            </w:r>
            <w:proofErr w:type="spellEnd"/>
            <w:r w:rsidRPr="008B2C38">
              <w:rPr>
                <w:rFonts w:eastAsia="Calibri" w:cstheme="minorHAnsi"/>
                <w:lang w:val="en-GB"/>
              </w:rPr>
              <w:t xml:space="preserve"> floor is not relevant with the current interest rates at the year end.</w:t>
            </w:r>
          </w:p>
        </w:tc>
        <w:tc>
          <w:tcPr>
            <w:cnfStyle w:val="000000000000" w:firstRow="0" w:lastRow="0" w:firstColumn="0" w:lastColumn="0" w:oddVBand="0" w:evenVBand="0" w:oddHBand="0" w:evenHBand="0" w:firstRowFirstColumn="0" w:firstRowLastColumn="0" w:lastRowFirstColumn="0" w:lastRowLastColumn="0"/>
            <w:tcW w:w="3772" w:type="dxa"/>
            <w:tcMar/>
          </w:tcPr>
          <w:p w:rsidRPr="008B2C38" w:rsidR="00333B07" w:rsidP="008B2C38" w:rsidRDefault="00333B07" w14:paraId="70434D50" w14:textId="77777777">
            <w:pPr>
              <w:spacing w:line="227" w:lineRule="atLeast"/>
              <w:cnfStyle w:val="000000000000" w:firstRow="0" w:lastRow="0" w:firstColumn="0" w:lastColumn="0" w:oddVBand="0" w:evenVBand="0" w:oddHBand="0" w:evenHBand="0" w:firstRowFirstColumn="0" w:firstRowLastColumn="0" w:lastRowFirstColumn="0" w:lastRowLastColumn="0"/>
              <w:rPr>
                <w:rFonts w:cstheme="minorHAnsi"/>
                <w:lang w:val="en-US"/>
              </w:rPr>
            </w:pPr>
            <w:r w:rsidRPr="008B2C38">
              <w:rPr>
                <w:rFonts w:cstheme="minorHAnsi"/>
                <w:lang w:val="en-US"/>
              </w:rPr>
              <w:t>This is not allowed. For a meaningful comparison, it is important that all participants use the same parameters. If a participant finds it interesting to calculate a different parameter set, this participant is of course free to calculate this additionally for himself.</w:t>
            </w:r>
          </w:p>
          <w:p w:rsidRPr="008B2C38" w:rsidR="00333B07" w:rsidP="008B2C38" w:rsidRDefault="00333B07" w14:paraId="7185709F" w14:textId="77777777">
            <w:pPr>
              <w:spacing w:line="227" w:lineRule="atLeast"/>
              <w:cnfStyle w:val="000000000000" w:firstRow="0" w:lastRow="0" w:firstColumn="0" w:lastColumn="0" w:oddVBand="0" w:evenVBand="0" w:oddHBand="0" w:evenHBand="0" w:firstRowFirstColumn="0" w:firstRowLastColumn="0" w:lastRowFirstColumn="0" w:lastRowLastColumn="0"/>
              <w:rPr>
                <w:rFonts w:cstheme="minorHAnsi"/>
                <w:lang w:val="en-US"/>
              </w:rPr>
            </w:pPr>
          </w:p>
          <w:p w:rsidRPr="008B2C38" w:rsidR="00333B07" w:rsidP="008B2C38" w:rsidRDefault="00333B07" w14:paraId="1F57FDF9" w14:textId="77777777">
            <w:pPr>
              <w:spacing w:line="227" w:lineRule="atLeast"/>
              <w:cnfStyle w:val="000000000000" w:firstRow="0" w:lastRow="0" w:firstColumn="0" w:lastColumn="0" w:oddVBand="0" w:evenVBand="0" w:oddHBand="0" w:evenHBand="0" w:firstRowFirstColumn="0" w:firstRowLastColumn="0" w:lastRowFirstColumn="0" w:lastRowLastColumn="0"/>
              <w:rPr>
                <w:rFonts w:cstheme="minorHAnsi"/>
                <w:lang w:val="en-US"/>
              </w:rPr>
            </w:pPr>
            <w:r w:rsidRPr="008B2C38">
              <w:rPr>
                <w:rFonts w:cstheme="minorHAnsi"/>
                <w:lang w:val="en-US"/>
              </w:rPr>
              <w:t xml:space="preserve">Specifically for interest rate risk, we would point out that the table cited in the question is used to determine the shock scenarios. By way of derogation from the methodology proposed by EIOPA, but in line with the provision in Article 1(510) of Directive 2025/2, the shocked curves are extrapolated from the First Smoothing Point. </w:t>
            </w:r>
          </w:p>
          <w:p w:rsidRPr="008B2C38" w:rsidR="00333B07" w:rsidP="008B2C38" w:rsidRDefault="00333B07" w14:paraId="76BE0D2D" w14:textId="0E9E3E6F">
            <w:pPr>
              <w:spacing w:line="227" w:lineRule="atLeast"/>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Pr="008B2C38" w:rsidR="00333B07" w:rsidTr="3F4F5C52" w14:paraId="10929F12" w14:textId="731E1B2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8" w:type="dxa"/>
            <w:noWrap/>
            <w:tcMar/>
          </w:tcPr>
          <w:p w:rsidRPr="008B2C38" w:rsidR="00333B07" w:rsidP="3F4F5C52" w:rsidRDefault="00333B07" w14:paraId="0ABB12C5" w14:textId="30D303C8">
            <w:pPr>
              <w:spacing w:line="227" w:lineRule="atLeast"/>
              <w:rPr>
                <w:rFonts w:cs="Calibri" w:cstheme="minorAscii"/>
                <w:lang w:val="en-US"/>
              </w:rPr>
            </w:pPr>
            <w:r w:rsidRPr="3F4F5C52" w:rsidR="7D656205">
              <w:rPr>
                <w:rFonts w:cs="Calibri" w:cstheme="minorAscii"/>
                <w:lang w:val="en-US"/>
              </w:rPr>
              <w:t>7</w:t>
            </w:r>
          </w:p>
        </w:tc>
        <w:tc>
          <w:tcPr>
            <w:cnfStyle w:val="000000000000" w:firstRow="0" w:lastRow="0" w:firstColumn="0" w:lastColumn="0" w:oddVBand="0" w:evenVBand="0" w:oddHBand="0" w:evenHBand="0" w:firstRowFirstColumn="0" w:firstRowLastColumn="0" w:lastRowFirstColumn="0" w:lastRowLastColumn="0"/>
            <w:tcW w:w="3435" w:type="dxa"/>
            <w:tcMar/>
          </w:tcPr>
          <w:p w:rsidRPr="008B2C38" w:rsidR="00333B07" w:rsidP="008B2C38" w:rsidRDefault="00333B07" w14:paraId="53F52FEF" w14:textId="5FA1704C">
            <w:pP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8B2C38">
              <w:rPr>
                <w:rFonts w:eastAsia="Calibri" w:cstheme="minorHAnsi"/>
                <w:lang w:val="en-GB"/>
              </w:rPr>
              <w:t>On page 7 of the technical specifications, DNB presents the following table:</w:t>
            </w:r>
          </w:p>
          <w:p w:rsidRPr="008B2C38" w:rsidR="00333B07" w:rsidP="008B2C38" w:rsidRDefault="00333B07" w14:paraId="65D51873" w14:textId="11A65538">
            <w:pP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8B2C38">
              <w:rPr>
                <w:rFonts w:cstheme="minorHAnsi"/>
                <w:noProof/>
              </w:rPr>
              <w:lastRenderedPageBreak/>
              <w:drawing>
                <wp:inline distT="0" distB="0" distL="0" distR="0" wp14:anchorId="493D5125" wp14:editId="0B57D567">
                  <wp:extent cx="2047875" cy="1628775"/>
                  <wp:effectExtent l="0" t="0" r="0" b="0"/>
                  <wp:docPr id="130973475" name="Picture 1309734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47875" cy="1628775"/>
                          </a:xfrm>
                          <a:prstGeom prst="rect">
                            <a:avLst/>
                          </a:prstGeom>
                        </pic:spPr>
                      </pic:pic>
                    </a:graphicData>
                  </a:graphic>
                </wp:inline>
              </w:drawing>
            </w:r>
            <w:r w:rsidRPr="008B2C38">
              <w:rPr>
                <w:rFonts w:eastAsia="Calibri" w:cstheme="minorHAnsi"/>
                <w:lang w:val="en-GB"/>
              </w:rPr>
              <w:t>With respect to deposits: Deposits are valued according to article 75 of Directive 2009/138/EC. The economic value will be derived by means of a valuation methodology. This will often be a discounted cash flow technique. To the risk-free interest rate a spread is added. Why are these deposits excluded as Fixed Income Securities. Or are you referring to deposits on demand deposits similar to cash?</w:t>
            </w:r>
          </w:p>
          <w:p w:rsidRPr="008B2C38" w:rsidR="00333B07" w:rsidP="008B2C38" w:rsidRDefault="00333B07" w14:paraId="10D381B8" w14:textId="4C218527">
            <w:pP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p>
          <w:p w:rsidRPr="008B2C38" w:rsidR="00333B07" w:rsidP="008B2C38" w:rsidRDefault="00333B07" w14:paraId="2FDBBD51" w14:textId="3DB47983">
            <w:pPr>
              <w:cnfStyle w:val="000000100000" w:firstRow="0" w:lastRow="0" w:firstColumn="0" w:lastColumn="0" w:oddVBand="0" w:evenVBand="0" w:oddHBand="1" w:evenHBand="0" w:firstRowFirstColumn="0" w:firstRowLastColumn="0" w:lastRowFirstColumn="0" w:lastRowLastColumn="0"/>
              <w:rPr>
                <w:rFonts w:eastAsia="Calibri" w:cstheme="minorHAnsi"/>
                <w:lang w:val="en-GB"/>
              </w:rPr>
            </w:pPr>
            <w:r w:rsidRPr="008B2C38">
              <w:rPr>
                <w:rFonts w:eastAsia="Calibri" w:cstheme="minorHAnsi"/>
                <w:lang w:val="en-GB"/>
              </w:rPr>
              <w:t>In the former, you are excluding a category of assets where spreads do have an impact.</w:t>
            </w:r>
          </w:p>
        </w:tc>
        <w:tc>
          <w:tcPr>
            <w:cnfStyle w:val="000000000000" w:firstRow="0" w:lastRow="0" w:firstColumn="0" w:lastColumn="0" w:oddVBand="0" w:evenVBand="0" w:oddHBand="0" w:evenHBand="0" w:firstRowFirstColumn="0" w:firstRowLastColumn="0" w:lastRowFirstColumn="0" w:lastRowLastColumn="0"/>
            <w:tcW w:w="3772" w:type="dxa"/>
            <w:tcMar/>
          </w:tcPr>
          <w:p w:rsidRPr="008B2C38" w:rsidR="00333B07" w:rsidP="008B2C38" w:rsidRDefault="00333B07" w14:paraId="1A3F1095" w14:textId="64F9CEA3">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r w:rsidRPr="008B2C38">
              <w:rPr>
                <w:rFonts w:cstheme="minorHAnsi"/>
                <w:lang w:val="en-US"/>
              </w:rPr>
              <w:lastRenderedPageBreak/>
              <w:t xml:space="preserve">DNB proposes to follow the table on page 7 of the technical specification. </w:t>
            </w:r>
          </w:p>
          <w:p w:rsidRPr="008B2C38" w:rsidR="00333B07" w:rsidP="008B2C38" w:rsidRDefault="00333B07" w14:paraId="1CF9D988" w14:textId="6EFC0C81">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p>
          <w:p w:rsidRPr="008B2C38" w:rsidR="00333B07" w:rsidP="008B2C38" w:rsidRDefault="00333B07" w14:paraId="2EB4786F" w14:textId="2F7D2137">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r w:rsidRPr="008B2C38">
              <w:rPr>
                <w:rFonts w:cstheme="minorHAnsi"/>
                <w:lang w:val="en-US"/>
              </w:rPr>
              <w:t xml:space="preserve">Although we acknowledge that the deposits are spread sensitive, the deposits with third position CIC code 7 is currently not included in the determination of the VA. Please see EIOPA's RFR technical documentation. </w:t>
            </w:r>
          </w:p>
          <w:p w:rsidRPr="008B2C38" w:rsidR="00333B07" w:rsidP="008B2C38" w:rsidRDefault="00333B07" w14:paraId="599F2009" w14:textId="4F0ACA88">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p>
        </w:tc>
      </w:tr>
      <w:tr w:rsidRPr="008B2C38" w:rsidR="00333B07" w:rsidTr="3F4F5C52" w14:paraId="0385FA24" w14:textId="2559151E">
        <w:trPr>
          <w:trHeight w:val="580"/>
        </w:trPr>
        <w:tc>
          <w:tcPr>
            <w:cnfStyle w:val="001000000000" w:firstRow="0" w:lastRow="0" w:firstColumn="1" w:lastColumn="0" w:oddVBand="0" w:evenVBand="0" w:oddHBand="0" w:evenHBand="0" w:firstRowFirstColumn="0" w:firstRowLastColumn="0" w:lastRowFirstColumn="0" w:lastRowLastColumn="0"/>
            <w:tcW w:w="448" w:type="dxa"/>
            <w:noWrap/>
            <w:tcMar/>
          </w:tcPr>
          <w:p w:rsidRPr="008B2C38" w:rsidR="00333B07" w:rsidP="3F4F5C52" w:rsidRDefault="00333B07" w14:paraId="4AFC66EE" w14:textId="03C27262">
            <w:pPr>
              <w:spacing w:line="227" w:lineRule="atLeast"/>
              <w:rPr>
                <w:rFonts w:cs="Calibri" w:cstheme="minorAscii"/>
                <w:lang w:val="en-US"/>
              </w:rPr>
            </w:pPr>
            <w:r w:rsidRPr="3F4F5C52" w:rsidR="2A29BDB4">
              <w:rPr>
                <w:rFonts w:cs="Calibri" w:cstheme="minorAscii"/>
                <w:lang w:val="en-US"/>
              </w:rPr>
              <w:t>8</w:t>
            </w:r>
          </w:p>
        </w:tc>
        <w:tc>
          <w:tcPr>
            <w:cnfStyle w:val="000000000000" w:firstRow="0" w:lastRow="0" w:firstColumn="0" w:lastColumn="0" w:oddVBand="0" w:evenVBand="0" w:oddHBand="0" w:evenHBand="0" w:firstRowFirstColumn="0" w:firstRowLastColumn="0" w:lastRowFirstColumn="0" w:lastRowLastColumn="0"/>
            <w:tcW w:w="3435" w:type="dxa"/>
            <w:tcMar/>
          </w:tcPr>
          <w:p w:rsidRPr="008B2C38" w:rsidR="00333B07" w:rsidP="008B2C38" w:rsidRDefault="00333B07" w14:paraId="1A4F6EA4" w14:textId="3DEB5F3D">
            <w:pPr>
              <w:spacing w:line="227" w:lineRule="atLeast"/>
              <w:cnfStyle w:val="000000000000" w:firstRow="0" w:lastRow="0" w:firstColumn="0" w:lastColumn="0" w:oddVBand="0" w:evenVBand="0" w:oddHBand="0" w:evenHBand="0" w:firstRowFirstColumn="0" w:firstRowLastColumn="0" w:lastRowFirstColumn="0" w:lastRowLastColumn="0"/>
              <w:rPr>
                <w:rFonts w:eastAsia="Calibri" w:cstheme="minorHAnsi"/>
              </w:rPr>
            </w:pPr>
            <w:r w:rsidRPr="008B2C38">
              <w:rPr>
                <w:rFonts w:eastAsia="Calibri" w:cstheme="minorHAnsi"/>
              </w:rPr>
              <w:t xml:space="preserve">Voor de CZK EIOPA No VA is de curve niet hetzelfde voor de tenors </w:t>
            </w:r>
            <w:r w:rsidRPr="008B2C38">
              <w:rPr>
                <w:rFonts w:eastAsia="Calibri" w:cstheme="minorHAnsi"/>
                <w:u w:val="single"/>
              </w:rPr>
              <w:t>voor</w:t>
            </w:r>
            <w:r w:rsidRPr="008B2C38">
              <w:rPr>
                <w:rFonts w:eastAsia="Calibri" w:cstheme="minorHAnsi"/>
              </w:rPr>
              <w:t xml:space="preserve"> extrapolatie als de door EIOPA gepubliceerde curves per Q4 2024 (zie EIOPA_RFR_20241231_Term _</w:t>
            </w:r>
            <w:proofErr w:type="spellStart"/>
            <w:r w:rsidRPr="008B2C38">
              <w:rPr>
                <w:rFonts w:eastAsia="Calibri" w:cstheme="minorHAnsi"/>
              </w:rPr>
              <w:t>Structures</w:t>
            </w:r>
            <w:proofErr w:type="spellEnd"/>
            <w:r w:rsidRPr="008B2C38">
              <w:rPr>
                <w:rFonts w:eastAsia="Calibri" w:cstheme="minorHAnsi"/>
              </w:rPr>
              <w:t>).</w:t>
            </w:r>
          </w:p>
          <w:p w:rsidRPr="008B2C38" w:rsidR="00333B07" w:rsidP="008B2C38" w:rsidRDefault="00333B07" w14:paraId="4DA15ACA" w14:textId="54B73E71">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r w:rsidRPr="008B2C38">
              <w:rPr>
                <w:rFonts w:eastAsia="Calibri" w:cstheme="minorHAnsi"/>
              </w:rPr>
              <w:t xml:space="preserve">Wij zien bijvoorbeeld voor het eerste jaar de volgende verschillen: </w:t>
            </w:r>
          </w:p>
          <w:p w:rsidRPr="008B2C38" w:rsidR="00333B07" w:rsidP="008B2C38" w:rsidRDefault="00333B07" w14:paraId="16F0E1A5" w14:textId="4AF6AD3C">
            <w:pPr>
              <w:pStyle w:val="ListParagraph"/>
              <w:numPr>
                <w:ilvl w:val="0"/>
                <w:numId w:val="5"/>
              </w:numPr>
              <w:spacing w:line="227" w:lineRule="atLeast"/>
              <w:cnfStyle w:val="000000000000" w:firstRow="0" w:lastRow="0" w:firstColumn="0" w:lastColumn="0" w:oddVBand="0" w:evenVBand="0" w:oddHBand="0" w:evenHBand="0" w:firstRowFirstColumn="0" w:firstRowLastColumn="0" w:lastRowFirstColumn="0" w:lastRowLastColumn="0"/>
              <w:rPr>
                <w:rFonts w:eastAsia="Calibri" w:cstheme="minorHAnsi"/>
                <w:lang w:val="en-US"/>
              </w:rPr>
            </w:pPr>
            <w:r w:rsidRPr="008B2C38">
              <w:rPr>
                <w:rFonts w:eastAsia="Calibri" w:cstheme="minorHAnsi"/>
                <w:lang w:val="en-US"/>
              </w:rPr>
              <w:t>DNB Technical Specification file: Year 1 = 3.57%</w:t>
            </w:r>
          </w:p>
          <w:p w:rsidRPr="008B2C38" w:rsidR="00333B07" w:rsidP="008B2C38" w:rsidRDefault="00333B07" w14:paraId="45E48DC3" w14:textId="082C232D">
            <w:pPr>
              <w:pStyle w:val="ListParagraph"/>
              <w:numPr>
                <w:ilvl w:val="0"/>
                <w:numId w:val="5"/>
              </w:numPr>
              <w:spacing w:line="227" w:lineRule="atLeast"/>
              <w:cnfStyle w:val="000000000000" w:firstRow="0" w:lastRow="0" w:firstColumn="0" w:lastColumn="0" w:oddVBand="0" w:evenVBand="0" w:oddHBand="0" w:evenHBand="0" w:firstRowFirstColumn="0" w:firstRowLastColumn="0" w:lastRowFirstColumn="0" w:lastRowLastColumn="0"/>
              <w:rPr>
                <w:rFonts w:eastAsia="Calibri" w:cstheme="minorHAnsi"/>
                <w:lang w:val="en-US"/>
              </w:rPr>
            </w:pPr>
            <w:r w:rsidRPr="008B2C38">
              <w:rPr>
                <w:rFonts w:eastAsia="Calibri" w:cstheme="minorHAnsi"/>
                <w:lang w:val="en-US"/>
              </w:rPr>
              <w:t>Reported EIOPA_RFR_20241231_Term_Structures: Year 1 = 3.674%</w:t>
            </w:r>
          </w:p>
          <w:p w:rsidRPr="008B2C38" w:rsidR="00333B07" w:rsidP="008B2C38" w:rsidRDefault="00333B07" w14:paraId="729C3C03" w14:textId="49B78909">
            <w:pPr>
              <w:spacing w:line="227" w:lineRule="atLeast"/>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cnfStyle w:val="000000000000" w:firstRow="0" w:lastRow="0" w:firstColumn="0" w:lastColumn="0" w:oddVBand="0" w:evenVBand="0" w:oddHBand="0" w:evenHBand="0" w:firstRowFirstColumn="0" w:firstRowLastColumn="0" w:lastRowFirstColumn="0" w:lastRowLastColumn="0"/>
            <w:tcW w:w="3772" w:type="dxa"/>
            <w:tcMar/>
          </w:tcPr>
          <w:p w:rsidRPr="008B2C38" w:rsidR="00333B07" w:rsidP="008B2C38" w:rsidRDefault="00333B07" w14:paraId="1A536C93" w14:textId="05999DDE">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r w:rsidRPr="008B2C38">
              <w:rPr>
                <w:rFonts w:eastAsia="Calibri" w:cstheme="minorHAnsi"/>
              </w:rPr>
              <w:t xml:space="preserve">Het klopt dat er verschillen in de curve zitten. </w:t>
            </w:r>
          </w:p>
          <w:p w:rsidRPr="008B2C38" w:rsidR="00333B07" w:rsidP="008B2C38" w:rsidRDefault="00333B07" w14:paraId="02E6A178" w14:textId="0E4F4888">
            <w:pPr>
              <w:spacing w:line="227" w:lineRule="atLeast"/>
              <w:cnfStyle w:val="000000000000" w:firstRow="0" w:lastRow="0" w:firstColumn="0" w:lastColumn="0" w:oddVBand="0" w:evenVBand="0" w:oddHBand="0" w:evenHBand="0" w:firstRowFirstColumn="0" w:firstRowLastColumn="0" w:lastRowFirstColumn="0" w:lastRowLastColumn="0"/>
              <w:rPr>
                <w:rFonts w:eastAsia="Calibri" w:cstheme="minorHAnsi"/>
              </w:rPr>
            </w:pPr>
          </w:p>
          <w:p w:rsidRPr="008B2C38" w:rsidR="00333B07" w:rsidP="008B2C38" w:rsidRDefault="00333B07" w14:paraId="34887B73" w14:textId="782E3246">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r w:rsidRPr="008B2C38">
              <w:rPr>
                <w:rFonts w:eastAsia="Calibri" w:cstheme="minorHAnsi"/>
              </w:rPr>
              <w:t>De reden hiervoor is dat DNB een andere databron hebben moeten gebruiken voor de extrapolatie van de rentetermijnstructuur dan EIOPA gebruikt (De door EIOPA gepubliceerde cijfers na het LLP bevatten een UFR en zijn dus niet bruikbaar voor de alternatieve extrapolatie). Vervolgens hebben we de databron consistent gebruikt. Hierdoor zitten er verschillen in de curves, dit is met name voor jaar 1 het geval, maar ook voor andere jaren zijn er kleine verschillen tussen de EIOPA-curve en de door ons aangeleverde curve.</w:t>
            </w:r>
          </w:p>
          <w:p w:rsidRPr="008B2C38" w:rsidR="00333B07" w:rsidP="008B2C38" w:rsidRDefault="00333B07" w14:paraId="46B69667" w14:textId="64EF1AC1">
            <w:pPr>
              <w:spacing w:line="227" w:lineRule="atLeast"/>
              <w:cnfStyle w:val="000000000000" w:firstRow="0" w:lastRow="0" w:firstColumn="0" w:lastColumn="0" w:oddVBand="0" w:evenVBand="0" w:oddHBand="0" w:evenHBand="0" w:firstRowFirstColumn="0" w:firstRowLastColumn="0" w:lastRowFirstColumn="0" w:lastRowLastColumn="0"/>
              <w:rPr>
                <w:rFonts w:eastAsia="Calibri" w:cstheme="minorHAnsi"/>
              </w:rPr>
            </w:pPr>
          </w:p>
          <w:p w:rsidRPr="008B2C38" w:rsidR="00333B07" w:rsidP="008B2C38" w:rsidRDefault="00333B07" w14:paraId="7428ED1A" w14:textId="189672F1">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r w:rsidRPr="008B2C38">
              <w:rPr>
                <w:rFonts w:eastAsia="Calibri" w:cstheme="minorHAnsi"/>
              </w:rPr>
              <w:t xml:space="preserve">Het is toegestaan om de JPY en CZK rentecurves zodanig aan te passen dat </w:t>
            </w:r>
            <w:r w:rsidRPr="008B2C38">
              <w:rPr>
                <w:rFonts w:eastAsia="Calibri" w:cstheme="minorHAnsi"/>
              </w:rPr>
              <w:lastRenderedPageBreak/>
              <w:t>deze consistent zijn voor de DLT punten voor het FSP.</w:t>
            </w:r>
          </w:p>
          <w:p w:rsidRPr="008B2C38" w:rsidR="00333B07" w:rsidP="008B2C38" w:rsidRDefault="00333B07" w14:paraId="19A67341" w14:textId="60CD0270">
            <w:pPr>
              <w:spacing w:line="227" w:lineRule="atLeast"/>
              <w:cnfStyle w:val="000000000000" w:firstRow="0" w:lastRow="0" w:firstColumn="0" w:lastColumn="0" w:oddVBand="0" w:evenVBand="0" w:oddHBand="0" w:evenHBand="0" w:firstRowFirstColumn="0" w:firstRowLastColumn="0" w:lastRowFirstColumn="0" w:lastRowLastColumn="0"/>
              <w:rPr>
                <w:rFonts w:eastAsia="Calibri" w:cstheme="minorHAnsi"/>
              </w:rPr>
            </w:pPr>
          </w:p>
          <w:p w:rsidRPr="008B2C38" w:rsidR="00333B07" w:rsidP="008B2C38" w:rsidRDefault="00333B07" w14:paraId="5F94FC70" w14:textId="5B75440C">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r w:rsidRPr="008B2C38">
              <w:rPr>
                <w:rFonts w:eastAsia="Calibri" w:cstheme="minorHAnsi"/>
              </w:rPr>
              <w:t xml:space="preserve">Om de consistentie met de rest van de impact assessment te bewaren is het mogelijk om de (consistente) zero curve voor JPY en CZK in te voeren in het (verborgen) tabblad </w:t>
            </w:r>
            <w:r w:rsidRPr="008B2C38">
              <w:rPr>
                <w:rFonts w:eastAsia="Calibri" w:cstheme="minorHAnsi"/>
                <w:i/>
                <w:iCs/>
              </w:rPr>
              <w:t xml:space="preserve">2024 YE </w:t>
            </w:r>
            <w:proofErr w:type="spellStart"/>
            <w:r w:rsidRPr="008B2C38">
              <w:rPr>
                <w:rFonts w:eastAsia="Calibri" w:cstheme="minorHAnsi"/>
                <w:i/>
                <w:iCs/>
              </w:rPr>
              <w:t>structures</w:t>
            </w:r>
            <w:proofErr w:type="spellEnd"/>
            <w:r w:rsidRPr="008B2C38">
              <w:rPr>
                <w:rFonts w:eastAsia="Calibri" w:cstheme="minorHAnsi"/>
              </w:rPr>
              <w:t xml:space="preserve">. Let hierbij op dat de forwards voor de niet DLT-looptijdpunten tussen twee DLT-looptijdpunten constant moeten zijn voor de alternatieve extrapolatie. Daarnaast moet ook de LLFR opnieuw berekend worden en ingevoerd worden in het tabblad 2024 YE </w:t>
            </w:r>
            <w:proofErr w:type="spellStart"/>
            <w:r w:rsidRPr="008B2C38">
              <w:rPr>
                <w:rFonts w:eastAsia="Calibri" w:cstheme="minorHAnsi"/>
              </w:rPr>
              <w:t>structures</w:t>
            </w:r>
            <w:proofErr w:type="spellEnd"/>
            <w:r w:rsidRPr="008B2C38">
              <w:rPr>
                <w:rFonts w:eastAsia="Calibri" w:cstheme="minorHAnsi"/>
              </w:rPr>
              <w:t xml:space="preserve">. </w:t>
            </w:r>
            <w:r w:rsidRPr="008B2C38">
              <w:rPr>
                <w:rFonts w:eastAsia="Calibri" w:cstheme="minorHAnsi"/>
                <w:lang w:val="en-US"/>
              </w:rPr>
              <w:t xml:space="preserve">Hiermee </w:t>
            </w:r>
            <w:proofErr w:type="spellStart"/>
            <w:r w:rsidRPr="008B2C38">
              <w:rPr>
                <w:rFonts w:eastAsia="Calibri" w:cstheme="minorHAnsi"/>
                <w:lang w:val="en-US"/>
              </w:rPr>
              <w:t>verwachten</w:t>
            </w:r>
            <w:proofErr w:type="spellEnd"/>
            <w:r w:rsidRPr="008B2C38">
              <w:rPr>
                <w:rFonts w:eastAsia="Calibri" w:cstheme="minorHAnsi"/>
                <w:lang w:val="en-US"/>
              </w:rPr>
              <w:t xml:space="preserve"> we </w:t>
            </w:r>
            <w:proofErr w:type="spellStart"/>
            <w:r w:rsidRPr="008B2C38">
              <w:rPr>
                <w:rFonts w:eastAsia="Calibri" w:cstheme="minorHAnsi"/>
                <w:lang w:val="en-US"/>
              </w:rPr>
              <w:t>dat</w:t>
            </w:r>
            <w:proofErr w:type="spellEnd"/>
            <w:r w:rsidRPr="008B2C38">
              <w:rPr>
                <w:rFonts w:eastAsia="Calibri" w:cstheme="minorHAnsi"/>
                <w:lang w:val="en-US"/>
              </w:rPr>
              <w:t xml:space="preserve"> Excel de </w:t>
            </w:r>
            <w:proofErr w:type="spellStart"/>
            <w:r w:rsidRPr="008B2C38">
              <w:rPr>
                <w:rFonts w:eastAsia="Calibri" w:cstheme="minorHAnsi"/>
                <w:lang w:val="en-US"/>
              </w:rPr>
              <w:t>goede</w:t>
            </w:r>
            <w:proofErr w:type="spellEnd"/>
            <w:r w:rsidRPr="008B2C38">
              <w:rPr>
                <w:rFonts w:eastAsia="Calibri" w:cstheme="minorHAnsi"/>
                <w:lang w:val="en-US"/>
              </w:rPr>
              <w:t xml:space="preserve"> curves </w:t>
            </w:r>
            <w:proofErr w:type="spellStart"/>
            <w:r w:rsidRPr="008B2C38">
              <w:rPr>
                <w:rFonts w:eastAsia="Calibri" w:cstheme="minorHAnsi"/>
                <w:lang w:val="en-US"/>
              </w:rPr>
              <w:t>produceert</w:t>
            </w:r>
            <w:proofErr w:type="spellEnd"/>
            <w:r w:rsidRPr="008B2C38">
              <w:rPr>
                <w:rFonts w:eastAsia="Calibri" w:cstheme="minorHAnsi"/>
                <w:lang w:val="en-US"/>
              </w:rPr>
              <w:t>.</w:t>
            </w:r>
          </w:p>
          <w:p w:rsidRPr="008B2C38" w:rsidR="00333B07" w:rsidP="008B2C38" w:rsidRDefault="00333B07" w14:paraId="3BD2502E" w14:textId="3B5C504B">
            <w:pPr>
              <w:spacing w:line="227" w:lineRule="atLeast"/>
              <w:cnfStyle w:val="000000000000" w:firstRow="0" w:lastRow="0" w:firstColumn="0" w:lastColumn="0" w:oddVBand="0" w:evenVBand="0" w:oddHBand="0" w:evenHBand="0" w:firstRowFirstColumn="0" w:firstRowLastColumn="0" w:lastRowFirstColumn="0" w:lastRowLastColumn="0"/>
              <w:rPr>
                <w:rFonts w:eastAsia="Calibri" w:cstheme="minorHAnsi"/>
                <w:lang w:val="en-US"/>
              </w:rPr>
            </w:pPr>
          </w:p>
          <w:p w:rsidRPr="008B2C38" w:rsidR="00333B07" w:rsidP="008B2C38" w:rsidRDefault="00333B07" w14:paraId="6EB727FD" w14:textId="39E49A77">
            <w:pPr>
              <w:spacing w:line="227" w:lineRule="atLeast"/>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Pr="008B2C38" w:rsidR="00333B07" w:rsidTr="3F4F5C52" w14:paraId="0E87A9BE" w14:textId="31625BED">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448" w:type="dxa"/>
            <w:noWrap/>
            <w:tcMar/>
          </w:tcPr>
          <w:p w:rsidRPr="008B2C38" w:rsidR="00333B07" w:rsidP="3F4F5C52" w:rsidRDefault="00333B07" w14:paraId="6CAE72EA" w14:textId="091E666D">
            <w:pPr>
              <w:spacing w:line="227" w:lineRule="atLeast"/>
              <w:rPr>
                <w:rFonts w:cs="Calibri" w:cstheme="minorAscii"/>
                <w:lang w:val="en-US"/>
              </w:rPr>
            </w:pPr>
            <w:r w:rsidRPr="3F4F5C52" w:rsidR="4109689C">
              <w:rPr>
                <w:rFonts w:cs="Calibri" w:cstheme="minorAscii"/>
                <w:lang w:val="en-US"/>
              </w:rPr>
              <w:t>9</w:t>
            </w:r>
          </w:p>
        </w:tc>
        <w:tc>
          <w:tcPr>
            <w:cnfStyle w:val="000000000000" w:firstRow="0" w:lastRow="0" w:firstColumn="0" w:lastColumn="0" w:oddVBand="0" w:evenVBand="0" w:oddHBand="0" w:evenHBand="0" w:firstRowFirstColumn="0" w:firstRowLastColumn="0" w:lastRowFirstColumn="0" w:lastRowLastColumn="0"/>
            <w:tcW w:w="3435" w:type="dxa"/>
            <w:tcMar/>
          </w:tcPr>
          <w:p w:rsidRPr="008B2C38" w:rsidR="00333B07" w:rsidP="008B2C38" w:rsidRDefault="00333B07" w14:paraId="744BCAFA" w14:textId="7898DE30">
            <w:pPr>
              <w:cnfStyle w:val="000000100000" w:firstRow="0" w:lastRow="0" w:firstColumn="0" w:lastColumn="0" w:oddVBand="0" w:evenVBand="0" w:oddHBand="1" w:evenHBand="0" w:firstRowFirstColumn="0" w:firstRowLastColumn="0" w:lastRowFirstColumn="0" w:lastRowLastColumn="0"/>
              <w:rPr>
                <w:rFonts w:eastAsia="Calibri" w:cstheme="minorHAnsi"/>
                <w:lang w:val="en-US"/>
              </w:rPr>
            </w:pPr>
            <w:r w:rsidRPr="008B2C38">
              <w:rPr>
                <w:rFonts w:eastAsia="Calibri" w:cstheme="minorHAnsi"/>
              </w:rPr>
              <w:t xml:space="preserve">Kunt u alstublieft de 13Y en 14Y DLT-punten voor de EUR-curve bevestigen? Deze DLT-punten zijn namelijk nog niet van toepassing per 31 december 2024. </w:t>
            </w:r>
            <w:proofErr w:type="spellStart"/>
            <w:r w:rsidRPr="008B2C38">
              <w:rPr>
                <w:rFonts w:eastAsia="Calibri" w:cstheme="minorHAnsi"/>
                <w:lang w:val="en-US"/>
              </w:rPr>
              <w:t>Specifiek</w:t>
            </w:r>
            <w:proofErr w:type="spellEnd"/>
            <w:r w:rsidRPr="008B2C38">
              <w:rPr>
                <w:rFonts w:eastAsia="Calibri" w:cstheme="minorHAnsi"/>
                <w:lang w:val="en-US"/>
              </w:rPr>
              <w:t xml:space="preserve"> </w:t>
            </w:r>
            <w:proofErr w:type="spellStart"/>
            <w:r w:rsidRPr="008B2C38">
              <w:rPr>
                <w:rFonts w:eastAsia="Calibri" w:cstheme="minorHAnsi"/>
                <w:lang w:val="en-US"/>
              </w:rPr>
              <w:t>werd</w:t>
            </w:r>
            <w:proofErr w:type="spellEnd"/>
            <w:r w:rsidRPr="008B2C38">
              <w:rPr>
                <w:rFonts w:eastAsia="Calibri" w:cstheme="minorHAnsi"/>
                <w:lang w:val="en-US"/>
              </w:rPr>
              <w:t xml:space="preserve"> het 13Y DLT-punt </w:t>
            </w:r>
            <w:proofErr w:type="spellStart"/>
            <w:r w:rsidRPr="008B2C38">
              <w:rPr>
                <w:rFonts w:eastAsia="Calibri" w:cstheme="minorHAnsi"/>
                <w:lang w:val="en-US"/>
              </w:rPr>
              <w:t>geïntroduceerd</w:t>
            </w:r>
            <w:proofErr w:type="spellEnd"/>
            <w:r w:rsidRPr="008B2C38">
              <w:rPr>
                <w:rFonts w:eastAsia="Calibri" w:cstheme="minorHAnsi"/>
                <w:lang w:val="en-US"/>
              </w:rPr>
              <w:t xml:space="preserve"> per 1 </w:t>
            </w:r>
            <w:proofErr w:type="spellStart"/>
            <w:r w:rsidRPr="008B2C38">
              <w:rPr>
                <w:rFonts w:eastAsia="Calibri" w:cstheme="minorHAnsi"/>
                <w:lang w:val="en-US"/>
              </w:rPr>
              <w:t>januari</w:t>
            </w:r>
            <w:proofErr w:type="spellEnd"/>
            <w:r w:rsidRPr="008B2C38">
              <w:rPr>
                <w:rFonts w:eastAsia="Calibri" w:cstheme="minorHAnsi"/>
                <w:lang w:val="en-US"/>
              </w:rPr>
              <w:t xml:space="preserve"> 2025.</w:t>
            </w:r>
          </w:p>
          <w:p w:rsidRPr="008B2C38" w:rsidR="00333B07" w:rsidP="008B2C38" w:rsidRDefault="00333B07" w14:paraId="565280E0" w14:textId="47B82FF9">
            <w:pPr>
              <w:cnfStyle w:val="000000100000" w:firstRow="0" w:lastRow="0" w:firstColumn="0" w:lastColumn="0" w:oddVBand="0" w:evenVBand="0" w:oddHBand="1" w:evenHBand="0" w:firstRowFirstColumn="0" w:firstRowLastColumn="0" w:lastRowFirstColumn="0" w:lastRowLastColumn="0"/>
              <w:rPr>
                <w:rFonts w:eastAsia="Calibri" w:cstheme="minorHAnsi"/>
                <w:lang w:val="en-US"/>
              </w:rPr>
            </w:pPr>
          </w:p>
        </w:tc>
        <w:tc>
          <w:tcPr>
            <w:cnfStyle w:val="000000000000" w:firstRow="0" w:lastRow="0" w:firstColumn="0" w:lastColumn="0" w:oddVBand="0" w:evenVBand="0" w:oddHBand="0" w:evenHBand="0" w:firstRowFirstColumn="0" w:firstRowLastColumn="0" w:lastRowFirstColumn="0" w:lastRowLastColumn="0"/>
            <w:tcW w:w="3772" w:type="dxa"/>
            <w:tcMar/>
          </w:tcPr>
          <w:p w:rsidRPr="008B2C38" w:rsidR="00333B07" w:rsidP="008B2C38" w:rsidRDefault="00333B07" w14:paraId="1B1C4701" w14:textId="42696BC8">
            <w:pPr>
              <w:spacing w:line="227" w:lineRule="atLeast"/>
              <w:cnfStyle w:val="000000100000" w:firstRow="0" w:lastRow="0" w:firstColumn="0" w:lastColumn="0" w:oddVBand="0" w:evenVBand="0" w:oddHBand="1" w:evenHBand="0" w:firstRowFirstColumn="0" w:firstRowLastColumn="0" w:lastRowFirstColumn="0" w:lastRowLastColumn="0"/>
              <w:rPr>
                <w:rFonts w:cstheme="minorHAnsi"/>
              </w:rPr>
            </w:pPr>
            <w:r w:rsidRPr="008B2C38">
              <w:rPr>
                <w:rFonts w:eastAsia="Calibri" w:cstheme="minorHAnsi"/>
              </w:rPr>
              <w:t xml:space="preserve">De 13Y en 14Y looptijdpunten zijn ten onrechte als DLT aangemerkt - wat tot onjuiste interpolatie leidt bij de alternatieve extrapolatiemethode. Het verschil is ongeveer 0.8 basispunten voor het 13- en 14-jaars punt in de 'base case'. De impact is vergelijkbaar bij de alternatieve rentescenario's. Onze inschatting is dat de impact op de SII review impact assessment uitkomsten beperkt is. Desalniettemin zullen wij hier binnenkort een correctie voor uitsturen en een bestand uploaden met de juiste curves (zie </w:t>
            </w:r>
            <w:hyperlink r:id="rId11">
              <w:r w:rsidRPr="008B2C38">
                <w:rPr>
                  <w:rStyle w:val="Hyperlink"/>
                  <w:rFonts w:eastAsia="Calibri" w:cstheme="minorHAnsi"/>
                  <w:color w:val="0563C1"/>
                </w:rPr>
                <w:t>Verzekeraars | De Nederlandsche Bank</w:t>
              </w:r>
            </w:hyperlink>
            <w:r w:rsidRPr="008B2C38">
              <w:rPr>
                <w:rFonts w:eastAsia="Calibri" w:cstheme="minorHAnsi"/>
                <w:u w:val="single"/>
              </w:rPr>
              <w:t>)</w:t>
            </w:r>
            <w:r w:rsidRPr="008B2C38">
              <w:rPr>
                <w:rFonts w:eastAsia="Calibri" w:cstheme="minorHAnsi"/>
              </w:rPr>
              <w:t>. Gezien de inschatting van de materialiteit op de overall uitkomsten zullen wij jullie en andere instellingen niet verplichten om deze gecorrigeerde curves te gebruiken.</w:t>
            </w:r>
          </w:p>
          <w:p w:rsidRPr="008B2C38" w:rsidR="00333B07" w:rsidP="008B2C38" w:rsidRDefault="00333B07" w14:paraId="3626EE10" w14:textId="7B77E5CA">
            <w:pPr>
              <w:spacing w:line="227" w:lineRule="atLeast"/>
              <w:cnfStyle w:val="000000100000" w:firstRow="0" w:lastRow="0" w:firstColumn="0" w:lastColumn="0" w:oddVBand="0" w:evenVBand="0" w:oddHBand="1" w:evenHBand="0" w:firstRowFirstColumn="0" w:firstRowLastColumn="0" w:lastRowFirstColumn="0" w:lastRowLastColumn="0"/>
              <w:rPr>
                <w:rFonts w:cstheme="minorHAnsi"/>
              </w:rPr>
            </w:pPr>
          </w:p>
        </w:tc>
      </w:tr>
      <w:tr w:rsidRPr="008B2C38" w:rsidR="00333B07" w:rsidTr="3F4F5C52" w14:paraId="29B0095E" w14:textId="66BFCDE5">
        <w:trPr>
          <w:trHeight w:val="580"/>
        </w:trPr>
        <w:tc>
          <w:tcPr>
            <w:cnfStyle w:val="001000000000" w:firstRow="0" w:lastRow="0" w:firstColumn="1" w:lastColumn="0" w:oddVBand="0" w:evenVBand="0" w:oddHBand="0" w:evenHBand="0" w:firstRowFirstColumn="0" w:firstRowLastColumn="0" w:lastRowFirstColumn="0" w:lastRowLastColumn="0"/>
            <w:tcW w:w="448" w:type="dxa"/>
            <w:noWrap/>
            <w:tcMar/>
          </w:tcPr>
          <w:p w:rsidRPr="008B2C38" w:rsidR="00333B07" w:rsidP="3F4F5C52" w:rsidRDefault="00333B07" w14:paraId="103C6A6B" w14:textId="10607964">
            <w:pPr>
              <w:spacing w:line="227" w:lineRule="atLeast"/>
              <w:rPr>
                <w:rFonts w:cs="Calibri" w:cstheme="minorAscii"/>
              </w:rPr>
            </w:pPr>
            <w:r w:rsidRPr="3F4F5C52" w:rsidR="00333B07">
              <w:rPr>
                <w:rFonts w:cs="Calibri" w:cstheme="minorAscii"/>
              </w:rPr>
              <w:t>1</w:t>
            </w:r>
            <w:r w:rsidRPr="3F4F5C52" w:rsidR="3CD4E19A">
              <w:rPr>
                <w:rFonts w:cs="Calibri" w:cstheme="minorAscii"/>
              </w:rPr>
              <w:t>0</w:t>
            </w:r>
          </w:p>
        </w:tc>
        <w:tc>
          <w:tcPr>
            <w:cnfStyle w:val="000000000000" w:firstRow="0" w:lastRow="0" w:firstColumn="0" w:lastColumn="0" w:oddVBand="0" w:evenVBand="0" w:oddHBand="0" w:evenHBand="0" w:firstRowFirstColumn="0" w:firstRowLastColumn="0" w:lastRowFirstColumn="0" w:lastRowLastColumn="0"/>
            <w:tcW w:w="3435" w:type="dxa"/>
            <w:tcMar/>
          </w:tcPr>
          <w:p w:rsidRPr="00AA5DAC" w:rsidR="00333B07" w:rsidP="00AA5DAC" w:rsidRDefault="00333B07" w14:paraId="67A9D77E" w14:textId="77777777">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r w:rsidRPr="00AA5DAC">
              <w:rPr>
                <w:rFonts w:cstheme="minorHAnsi"/>
              </w:rPr>
              <w:t xml:space="preserve">In het bestand </w:t>
            </w:r>
            <w:hyperlink w:history="1" r:id="rId12">
              <w:r w:rsidRPr="00AA5DAC">
                <w:rPr>
                  <w:rStyle w:val="Hyperlink"/>
                  <w:rFonts w:cstheme="minorHAnsi"/>
                </w:rPr>
                <w:t>https://www.dnb.nl/media/2rcpgfc2/2023-2024-reassessment-exercise-of-natcat-risks-zonal-calibration_all.xlsx</w:t>
              </w:r>
            </w:hyperlink>
            <w:r w:rsidRPr="00AA5DAC">
              <w:rPr>
                <w:rFonts w:cstheme="minorHAnsi"/>
              </w:rPr>
              <w:t xml:space="preserve"> staat aangegeven dat er voor het </w:t>
            </w:r>
            <w:proofErr w:type="spellStart"/>
            <w:r w:rsidRPr="00AA5DAC">
              <w:rPr>
                <w:rFonts w:cstheme="minorHAnsi"/>
              </w:rPr>
              <w:t>subsidence</w:t>
            </w:r>
            <w:proofErr w:type="spellEnd"/>
            <w:r w:rsidRPr="00AA5DAC">
              <w:rPr>
                <w:rFonts w:cstheme="minorHAnsi"/>
              </w:rPr>
              <w:t xml:space="preserve"> risico in België (regel 47 tabblad Country factors </w:t>
            </w:r>
            <w:proofErr w:type="spellStart"/>
            <w:r w:rsidRPr="00AA5DAC">
              <w:rPr>
                <w:rFonts w:cstheme="minorHAnsi"/>
              </w:rPr>
              <w:t>for</w:t>
            </w:r>
            <w:proofErr w:type="spellEnd"/>
            <w:r w:rsidRPr="00AA5DAC">
              <w:rPr>
                <w:rFonts w:cstheme="minorHAnsi"/>
              </w:rPr>
              <w:t xml:space="preserve"> </w:t>
            </w:r>
            <w:proofErr w:type="spellStart"/>
            <w:r w:rsidRPr="00AA5DAC">
              <w:rPr>
                <w:rFonts w:cstheme="minorHAnsi"/>
              </w:rPr>
              <w:lastRenderedPageBreak/>
              <w:t>perils</w:t>
            </w:r>
            <w:proofErr w:type="spellEnd"/>
            <w:r w:rsidRPr="00AA5DAC">
              <w:rPr>
                <w:rFonts w:cstheme="minorHAnsi"/>
              </w:rPr>
              <w:t xml:space="preserve">) zowel een nieuwe matrix (kolom F), als risicozones (kolom G), als correlaties (kolom H) zijn. </w:t>
            </w:r>
          </w:p>
          <w:p w:rsidRPr="00AA5DAC" w:rsidR="00333B07" w:rsidP="00AA5DAC" w:rsidRDefault="00333B07" w14:paraId="79BCE824" w14:textId="77777777">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r w:rsidRPr="00AA5DAC">
              <w:rPr>
                <w:rFonts w:cstheme="minorHAnsi"/>
              </w:rPr>
              <w:t>Wij hadden hier dan ook een tabblad voor verwacht in dit bestand analoog aan andere landen met nieuwe risico’s. Dit tabblad ontbreekt echter. Waar kunnen wij deze informatie vinden?</w:t>
            </w:r>
          </w:p>
          <w:p w:rsidRPr="008B2C38" w:rsidR="00333B07" w:rsidP="008B2C38" w:rsidRDefault="00333B07" w14:paraId="3C5BB361" w14:textId="2BCB7328">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p>
        </w:tc>
        <w:tc>
          <w:tcPr>
            <w:cnfStyle w:val="000000000000" w:firstRow="0" w:lastRow="0" w:firstColumn="0" w:lastColumn="0" w:oddVBand="0" w:evenVBand="0" w:oddHBand="0" w:evenHBand="0" w:firstRowFirstColumn="0" w:firstRowLastColumn="0" w:lastRowFirstColumn="0" w:lastRowLastColumn="0"/>
            <w:tcW w:w="3772" w:type="dxa"/>
            <w:tcMar/>
          </w:tcPr>
          <w:p w:rsidR="00333B07" w:rsidP="00DF3091" w:rsidRDefault="00333B07" w14:paraId="1320CDFD" w14:textId="77777777">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r w:rsidRPr="00DF3091">
              <w:rPr>
                <w:rFonts w:cstheme="minorHAnsi"/>
              </w:rPr>
              <w:lastRenderedPageBreak/>
              <w:t xml:space="preserve">Dit tabblad mist inderdaad abusievelijk. </w:t>
            </w:r>
          </w:p>
          <w:p w:rsidR="00333B07" w:rsidP="00DF3091" w:rsidRDefault="00333B07" w14:paraId="3449DCBF" w14:textId="77777777">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p>
          <w:p w:rsidR="00333B07" w:rsidP="00DF3091" w:rsidRDefault="00333B07" w14:paraId="58F98597" w14:textId="5C12A44A">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 xml:space="preserve">DNB zal een geüpdatet bestand uploaden inclusief de benodigde informatie voor het BE </w:t>
            </w:r>
            <w:proofErr w:type="spellStart"/>
            <w:r>
              <w:rPr>
                <w:rFonts w:cstheme="minorHAnsi"/>
              </w:rPr>
              <w:t>subsidence</w:t>
            </w:r>
            <w:proofErr w:type="spellEnd"/>
            <w:r>
              <w:rPr>
                <w:rFonts w:cstheme="minorHAnsi"/>
              </w:rPr>
              <w:t xml:space="preserve"> risico.</w:t>
            </w:r>
          </w:p>
          <w:p w:rsidR="00333B07" w:rsidP="00DF3091" w:rsidRDefault="00333B07" w14:paraId="2DBE92F5" w14:textId="77777777">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p>
          <w:p w:rsidRPr="008B2C38" w:rsidR="00333B07" w:rsidP="0002640F" w:rsidRDefault="00333B07" w14:paraId="24FD6FA0" w14:textId="2CA8E506">
            <w:pPr>
              <w:spacing w:line="227" w:lineRule="atLeas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lastRenderedPageBreak/>
              <w:t xml:space="preserve">De informatie over de risicozones en de correlatie daartussen is nu ook te vinden op de website van EIOPA, zie </w:t>
            </w:r>
            <w:hyperlink w:history="1" r:id="rId13">
              <w:r w:rsidRPr="00F31800">
                <w:rPr>
                  <w:rStyle w:val="Hyperlink"/>
                  <w:rFonts w:cstheme="minorHAnsi"/>
                </w:rPr>
                <w:t xml:space="preserve">Opinion on </w:t>
              </w:r>
              <w:proofErr w:type="spellStart"/>
              <w:r w:rsidRPr="00F31800">
                <w:rPr>
                  <w:rStyle w:val="Hyperlink"/>
                  <w:rFonts w:cstheme="minorHAnsi"/>
                </w:rPr>
                <w:t>the</w:t>
              </w:r>
              <w:proofErr w:type="spellEnd"/>
              <w:r w:rsidRPr="00F31800">
                <w:rPr>
                  <w:rStyle w:val="Hyperlink"/>
                  <w:rFonts w:cstheme="minorHAnsi"/>
                </w:rPr>
                <w:t xml:space="preserve"> 2023/2024 </w:t>
              </w:r>
              <w:proofErr w:type="spellStart"/>
              <w:r w:rsidRPr="00F31800">
                <w:rPr>
                  <w:rStyle w:val="Hyperlink"/>
                  <w:rFonts w:cstheme="minorHAnsi"/>
                </w:rPr>
                <w:t>Reassessment</w:t>
              </w:r>
              <w:proofErr w:type="spellEnd"/>
              <w:r w:rsidRPr="00F31800">
                <w:rPr>
                  <w:rStyle w:val="Hyperlink"/>
                  <w:rFonts w:cstheme="minorHAnsi"/>
                </w:rPr>
                <w:t xml:space="preserve"> of </w:t>
              </w:r>
              <w:proofErr w:type="spellStart"/>
              <w:r w:rsidRPr="00F31800">
                <w:rPr>
                  <w:rStyle w:val="Hyperlink"/>
                  <w:rFonts w:cstheme="minorHAnsi"/>
                </w:rPr>
                <w:t>the</w:t>
              </w:r>
              <w:proofErr w:type="spellEnd"/>
              <w:r w:rsidRPr="00F31800">
                <w:rPr>
                  <w:rStyle w:val="Hyperlink"/>
                  <w:rFonts w:cstheme="minorHAnsi"/>
                </w:rPr>
                <w:t xml:space="preserve"> Nat Cat Standard </w:t>
              </w:r>
              <w:proofErr w:type="spellStart"/>
              <w:r w:rsidRPr="00F31800">
                <w:rPr>
                  <w:rStyle w:val="Hyperlink"/>
                  <w:rFonts w:cstheme="minorHAnsi"/>
                </w:rPr>
                <w:t>Formula</w:t>
              </w:r>
              <w:proofErr w:type="spellEnd"/>
              <w:r w:rsidRPr="00F31800">
                <w:rPr>
                  <w:rStyle w:val="Hyperlink"/>
                  <w:rFonts w:cstheme="minorHAnsi"/>
                </w:rPr>
                <w:t xml:space="preserve"> - EIOPA</w:t>
              </w:r>
            </w:hyperlink>
            <w:r>
              <w:rPr>
                <w:rFonts w:cstheme="minorHAnsi"/>
              </w:rPr>
              <w:t>.</w:t>
            </w:r>
          </w:p>
        </w:tc>
      </w:tr>
      <w:tr w:rsidRPr="00333B07" w:rsidR="00333B07" w:rsidTr="3F4F5C52" w14:paraId="51053099" w14:textId="46451003">
        <w:trPr>
          <w:cnfStyle w:val="000000100000" w:firstRow="0" w:lastRow="0" w:firstColumn="0" w:lastColumn="0" w:oddVBand="0" w:evenVBand="0" w:oddHBand="1" w:evenHBand="0" w:firstRowFirstColumn="0" w:firstRowLastColumn="0" w:lastRowFirstColumn="0" w:lastRowLastColumn="0"/>
          <w:trHeight w:val="2030"/>
        </w:trPr>
        <w:tc>
          <w:tcPr>
            <w:cnfStyle w:val="001000000000" w:firstRow="0" w:lastRow="0" w:firstColumn="1" w:lastColumn="0" w:oddVBand="0" w:evenVBand="0" w:oddHBand="0" w:evenHBand="0" w:firstRowFirstColumn="0" w:firstRowLastColumn="0" w:lastRowFirstColumn="0" w:lastRowLastColumn="0"/>
            <w:tcW w:w="448" w:type="dxa"/>
            <w:noWrap/>
            <w:tcMar/>
          </w:tcPr>
          <w:p w:rsidRPr="008B2C38" w:rsidR="00333B07" w:rsidP="3F4F5C52" w:rsidRDefault="00333B07" w14:paraId="6164367C" w14:textId="7D209D59">
            <w:pPr>
              <w:spacing w:line="227" w:lineRule="atLeast"/>
              <w:rPr>
                <w:rFonts w:cs="Calibri" w:cstheme="minorAscii"/>
              </w:rPr>
            </w:pPr>
            <w:r w:rsidRPr="3F4F5C52" w:rsidR="00333B07">
              <w:rPr>
                <w:rFonts w:cs="Calibri" w:cstheme="minorAscii"/>
              </w:rPr>
              <w:t>1</w:t>
            </w:r>
            <w:r w:rsidRPr="3F4F5C52" w:rsidR="4B0BAAB9">
              <w:rPr>
                <w:rFonts w:cs="Calibri" w:cstheme="minorAscii"/>
              </w:rPr>
              <w:t>1</w:t>
            </w:r>
          </w:p>
        </w:tc>
        <w:tc>
          <w:tcPr>
            <w:cnfStyle w:val="000000000000" w:firstRow="0" w:lastRow="0" w:firstColumn="0" w:lastColumn="0" w:oddVBand="0" w:evenVBand="0" w:oddHBand="0" w:evenHBand="0" w:firstRowFirstColumn="0" w:firstRowLastColumn="0" w:lastRowFirstColumn="0" w:lastRowLastColumn="0"/>
            <w:tcW w:w="3435" w:type="dxa"/>
            <w:tcMar/>
          </w:tcPr>
          <w:p w:rsidR="00333B07" w:rsidP="00C500D8" w:rsidRDefault="00333B07" w14:paraId="655F69E0" w14:textId="47A0C744">
            <w:pPr>
              <w:spacing w:line="227" w:lineRule="atLeast"/>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Kan DNB</w:t>
            </w:r>
            <w:r w:rsidRPr="00C500D8">
              <w:rPr>
                <w:rFonts w:cstheme="minorHAnsi"/>
              </w:rPr>
              <w:t xml:space="preserve"> bevestigen dat de CIC code hieronder 64 moet zijn </w:t>
            </w:r>
            <w:proofErr w:type="spellStart"/>
            <w:r w:rsidRPr="00C500D8">
              <w:rPr>
                <w:rFonts w:cstheme="minorHAnsi"/>
              </w:rPr>
              <w:t>ipv</w:t>
            </w:r>
            <w:proofErr w:type="spellEnd"/>
            <w:r w:rsidRPr="00C500D8">
              <w:rPr>
                <w:rFonts w:cstheme="minorHAnsi"/>
              </w:rPr>
              <w:t xml:space="preserve"> 54 (zie geel gearceerde in tabel)?</w:t>
            </w:r>
          </w:p>
          <w:p w:rsidR="00333B07" w:rsidP="00C500D8" w:rsidRDefault="00333B07" w14:paraId="49E3D2F2" w14:textId="77777777">
            <w:pPr>
              <w:spacing w:line="227" w:lineRule="atLeast"/>
              <w:cnfStyle w:val="000000100000" w:firstRow="0" w:lastRow="0" w:firstColumn="0" w:lastColumn="0" w:oddVBand="0" w:evenVBand="0" w:oddHBand="1" w:evenHBand="0" w:firstRowFirstColumn="0" w:firstRowLastColumn="0" w:lastRowFirstColumn="0" w:lastRowLastColumn="0"/>
              <w:rPr>
                <w:rFonts w:cstheme="minorHAnsi"/>
              </w:rPr>
            </w:pPr>
          </w:p>
          <w:p w:rsidRPr="00C500D8" w:rsidR="00333B07" w:rsidP="00C500D8" w:rsidRDefault="00333B07" w14:paraId="2CDF8A44" w14:textId="364520D5">
            <w:pPr>
              <w:spacing w:line="227" w:lineRule="atLeast"/>
              <w:cnfStyle w:val="000000100000" w:firstRow="0" w:lastRow="0" w:firstColumn="0" w:lastColumn="0" w:oddVBand="0" w:evenVBand="0" w:oddHBand="1" w:evenHBand="0" w:firstRowFirstColumn="0" w:firstRowLastColumn="0" w:lastRowFirstColumn="0" w:lastRowLastColumn="0"/>
              <w:rPr>
                <w:rFonts w:cstheme="minorHAnsi"/>
              </w:rPr>
            </w:pPr>
            <w:r>
              <w:rPr>
                <w:noProof/>
              </w:rPr>
              <w:drawing>
                <wp:inline distT="0" distB="0" distL="0" distR="0" wp14:anchorId="1CF677E0" wp14:editId="5979CC5F">
                  <wp:extent cx="1691640" cy="1359535"/>
                  <wp:effectExtent l="0" t="0" r="3810" b="0"/>
                  <wp:docPr id="18578299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r:link="rId15" cstate="print">
                            <a:extLst>
                              <a:ext uri="{28A0092B-C50C-407E-A947-70E740481C1C}">
                                <a14:useLocalDpi xmlns:a14="http://schemas.microsoft.com/office/drawing/2010/main" val="0"/>
                              </a:ext>
                            </a:extLst>
                          </a:blip>
                          <a:srcRect/>
                          <a:stretch>
                            <a:fillRect/>
                          </a:stretch>
                        </pic:blipFill>
                        <pic:spPr bwMode="auto">
                          <a:xfrm>
                            <a:off x="0" y="0"/>
                            <a:ext cx="1691640" cy="1359535"/>
                          </a:xfrm>
                          <a:prstGeom prst="rect">
                            <a:avLst/>
                          </a:prstGeom>
                          <a:noFill/>
                          <a:ln>
                            <a:noFill/>
                          </a:ln>
                        </pic:spPr>
                      </pic:pic>
                    </a:graphicData>
                  </a:graphic>
                </wp:inline>
              </w:drawing>
            </w:r>
          </w:p>
          <w:p w:rsidRPr="008B2C38" w:rsidR="00333B07" w:rsidP="008B2C38" w:rsidRDefault="00333B07" w14:paraId="5C8B1CFE" w14:textId="4D70574A">
            <w:pPr>
              <w:spacing w:line="227" w:lineRule="atLeast"/>
              <w:cnfStyle w:val="000000100000" w:firstRow="0" w:lastRow="0" w:firstColumn="0" w:lastColumn="0" w:oddVBand="0" w:evenVBand="0" w:oddHBand="1" w:evenHBand="0" w:firstRowFirstColumn="0" w:firstRowLastColumn="0" w:lastRowFirstColumn="0" w:lastRowLastColumn="0"/>
              <w:rPr>
                <w:rFonts w:cstheme="minorHAnsi"/>
              </w:rPr>
            </w:pPr>
          </w:p>
        </w:tc>
        <w:tc>
          <w:tcPr>
            <w:cnfStyle w:val="000000000000" w:firstRow="0" w:lastRow="0" w:firstColumn="0" w:lastColumn="0" w:oddVBand="0" w:evenVBand="0" w:oddHBand="0" w:evenHBand="0" w:firstRowFirstColumn="0" w:firstRowLastColumn="0" w:lastRowFirstColumn="0" w:lastRowLastColumn="0"/>
            <w:tcW w:w="3772" w:type="dxa"/>
            <w:tcMar/>
          </w:tcPr>
          <w:p w:rsidRPr="001101EA" w:rsidR="00333B07" w:rsidP="008B2C38" w:rsidRDefault="00333B07" w14:paraId="5FE43654" w14:textId="1F69C18C">
            <w:pPr>
              <w:spacing w:line="227" w:lineRule="atLeast"/>
              <w:cnfStyle w:val="000000100000" w:firstRow="0" w:lastRow="0" w:firstColumn="0" w:lastColumn="0" w:oddVBand="0" w:evenVBand="0" w:oddHBand="1" w:evenHBand="0" w:firstRowFirstColumn="0" w:firstRowLastColumn="0" w:lastRowFirstColumn="0" w:lastRowLastColumn="0"/>
              <w:rPr>
                <w:rFonts w:cstheme="minorHAnsi"/>
                <w:lang w:val="en-US"/>
              </w:rPr>
            </w:pPr>
            <w:r w:rsidRPr="001101EA">
              <w:rPr>
                <w:rFonts w:cstheme="minorHAnsi"/>
                <w:lang w:val="en-US"/>
              </w:rPr>
              <w:t xml:space="preserve">Yes, this should </w:t>
            </w:r>
            <w:r>
              <w:rPr>
                <w:rFonts w:cstheme="minorHAnsi"/>
                <w:lang w:val="en-US"/>
              </w:rPr>
              <w:t xml:space="preserve">indeed </w:t>
            </w:r>
            <w:r w:rsidRPr="001101EA">
              <w:rPr>
                <w:rFonts w:cstheme="minorHAnsi"/>
                <w:lang w:val="en-US"/>
              </w:rPr>
              <w:t>be C</w:t>
            </w:r>
            <w:r>
              <w:rPr>
                <w:rFonts w:cstheme="minorHAnsi"/>
                <w:lang w:val="en-US"/>
              </w:rPr>
              <w:t>IC code 64.</w:t>
            </w:r>
          </w:p>
        </w:tc>
      </w:tr>
      <w:tr w:rsidR="3F4F5C52" w:rsidTr="3F4F5C52" w14:paraId="7107E2EA">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48" w:type="dxa"/>
            <w:noWrap/>
            <w:tcMar/>
          </w:tcPr>
          <w:p w:rsidR="446AC1FD" w:rsidP="3F4F5C52" w:rsidRDefault="446AC1FD" w14:paraId="1C16F387" w14:textId="6536249C">
            <w:pPr>
              <w:pStyle w:val="Normal"/>
              <w:spacing w:line="227" w:lineRule="atLeast"/>
              <w:rPr>
                <w:rFonts w:cs="Calibri" w:cstheme="minorAscii"/>
              </w:rPr>
            </w:pPr>
            <w:r w:rsidRPr="3F4F5C52" w:rsidR="446AC1FD">
              <w:rPr>
                <w:rFonts w:cs="Calibri" w:cstheme="minorAscii"/>
              </w:rPr>
              <w:t>12</w:t>
            </w:r>
          </w:p>
        </w:tc>
        <w:tc>
          <w:tcPr>
            <w:cnfStyle w:val="000000000000" w:firstRow="0" w:lastRow="0" w:firstColumn="0" w:lastColumn="0" w:oddVBand="0" w:evenVBand="0" w:oddHBand="0" w:evenHBand="0" w:firstRowFirstColumn="0" w:firstRowLastColumn="0" w:lastRowFirstColumn="0" w:lastRowLastColumn="0"/>
            <w:tcW w:w="3435" w:type="dxa"/>
            <w:tcMar/>
          </w:tcPr>
          <w:p w:rsidR="446AC1FD" w:rsidP="3F4F5C52" w:rsidRDefault="446AC1FD" w14:paraId="35006F0A" w14:textId="77F7F3A6">
            <w:pPr>
              <w:spacing w:before="0" w:beforeAutospacing="off" w:after="160" w:afterAutospacing="off"/>
            </w:pPr>
            <w:r w:rsidRPr="3F4F5C52" w:rsidR="446AC1FD">
              <w:rPr>
                <w:rFonts w:ascii="Calibri" w:hAnsi="Calibri" w:eastAsia="Calibri" w:cs="Calibri"/>
                <w:noProof w:val="0"/>
                <w:sz w:val="22"/>
                <w:szCs w:val="22"/>
                <w:lang w:val="en-GB"/>
              </w:rPr>
              <w:t xml:space="preserve">EIOPA did not calculate the relevant Risk-Free interest rate anymore for </w:t>
            </w:r>
            <w:r w:rsidRPr="3F4F5C52" w:rsidR="446AC1FD">
              <w:rPr>
                <w:rFonts w:ascii="Calibri" w:hAnsi="Calibri" w:eastAsia="Calibri" w:cs="Calibri"/>
                <w:noProof w:val="0"/>
                <w:sz w:val="22"/>
                <w:szCs w:val="22"/>
                <w:lang w:val="en-GB"/>
              </w:rPr>
              <w:t>Turkye</w:t>
            </w:r>
            <w:r w:rsidRPr="3F4F5C52" w:rsidR="446AC1FD">
              <w:rPr>
                <w:rFonts w:ascii="Calibri" w:hAnsi="Calibri" w:eastAsia="Calibri" w:cs="Calibri"/>
                <w:noProof w:val="0"/>
                <w:sz w:val="22"/>
                <w:szCs w:val="22"/>
                <w:lang w:val="en-GB"/>
              </w:rPr>
              <w:t xml:space="preserve">. In the past, EIOPA did calculate the VA for </w:t>
            </w:r>
            <w:r w:rsidRPr="3F4F5C52" w:rsidR="446AC1FD">
              <w:rPr>
                <w:rFonts w:ascii="Calibri" w:hAnsi="Calibri" w:eastAsia="Calibri" w:cs="Calibri"/>
                <w:noProof w:val="0"/>
                <w:sz w:val="22"/>
                <w:szCs w:val="22"/>
                <w:lang w:val="en-GB"/>
              </w:rPr>
              <w:t>Turkye</w:t>
            </w:r>
            <w:r w:rsidRPr="3F4F5C52" w:rsidR="446AC1FD">
              <w:rPr>
                <w:rFonts w:ascii="Calibri" w:hAnsi="Calibri" w:eastAsia="Calibri" w:cs="Calibri"/>
                <w:noProof w:val="0"/>
                <w:sz w:val="22"/>
                <w:szCs w:val="22"/>
                <w:lang w:val="en-GB"/>
              </w:rPr>
              <w:t xml:space="preserve">. As EIOPA, does not provide the discount rate anymore, are we allowed to </w:t>
            </w:r>
            <w:r w:rsidRPr="3F4F5C52" w:rsidR="446AC1FD">
              <w:rPr>
                <w:rFonts w:ascii="Calibri" w:hAnsi="Calibri" w:eastAsia="Calibri" w:cs="Calibri"/>
                <w:noProof w:val="0"/>
                <w:sz w:val="22"/>
                <w:szCs w:val="22"/>
                <w:lang w:val="en-GB"/>
              </w:rPr>
              <w:t>determine</w:t>
            </w:r>
            <w:r w:rsidRPr="3F4F5C52" w:rsidR="446AC1FD">
              <w:rPr>
                <w:rFonts w:ascii="Calibri" w:hAnsi="Calibri" w:eastAsia="Calibri" w:cs="Calibri"/>
                <w:noProof w:val="0"/>
                <w:sz w:val="22"/>
                <w:szCs w:val="22"/>
                <w:lang w:val="en-GB"/>
              </w:rPr>
              <w:t xml:space="preserve"> a VA for add to their Risk-free interest rate?</w:t>
            </w:r>
          </w:p>
        </w:tc>
        <w:tc>
          <w:tcPr>
            <w:cnfStyle w:val="000000000000" w:firstRow="0" w:lastRow="0" w:firstColumn="0" w:lastColumn="0" w:oddVBand="0" w:evenVBand="0" w:oddHBand="0" w:evenHBand="0" w:firstRowFirstColumn="0" w:firstRowLastColumn="0" w:lastRowFirstColumn="0" w:lastRowLastColumn="0"/>
            <w:tcW w:w="3772" w:type="dxa"/>
            <w:tcMar/>
          </w:tcPr>
          <w:p w:rsidR="446AC1FD" w:rsidP="3F4F5C52" w:rsidRDefault="446AC1FD" w14:paraId="25F6D352" w14:textId="6E7EA640">
            <w:pPr>
              <w:pStyle w:val="Normal"/>
              <w:spacing w:line="227" w:lineRule="atLeast"/>
              <w:rPr>
                <w:rFonts w:cs="Calibri" w:cstheme="minorAscii"/>
                <w:lang w:val="en-US"/>
              </w:rPr>
            </w:pPr>
            <w:r w:rsidRPr="3F4F5C52" w:rsidR="446AC1FD">
              <w:rPr>
                <w:rFonts w:cs="Calibri" w:cstheme="minorAscii"/>
                <w:lang w:val="en-US"/>
              </w:rPr>
              <w:t xml:space="preserve">Please be consistent with how this is treated </w:t>
            </w:r>
            <w:r w:rsidRPr="3F4F5C52" w:rsidR="0F6B510E">
              <w:rPr>
                <w:rFonts w:cs="Calibri" w:cstheme="minorAscii"/>
                <w:lang w:val="en-US"/>
              </w:rPr>
              <w:t>in your yearly reporting.</w:t>
            </w:r>
          </w:p>
        </w:tc>
      </w:tr>
    </w:tbl>
    <w:p w:rsidR="3F4F5C52" w:rsidRDefault="3F4F5C52" w14:paraId="20D6933C" w14:textId="66FAC256"/>
    <w:p w:rsidRPr="008B2C38" w:rsidR="00622780" w:rsidP="00FF10CC" w:rsidRDefault="00622780" w14:paraId="2B4EAC3A" w14:textId="77777777">
      <w:pPr>
        <w:spacing w:line="227" w:lineRule="atLeast"/>
        <w:rPr>
          <w:rFonts w:cstheme="minorHAnsi"/>
        </w:rPr>
      </w:pPr>
    </w:p>
    <w:sectPr w:rsidRPr="008B2C38" w:rsidR="00622780" w:rsidSect="00917C5B">
      <w:headerReference w:type="even" r:id="rId16"/>
      <w:headerReference w:type="default" r:id="rId17"/>
      <w:headerReference w:type="first" r:id="rId18"/>
      <w:pgSz w:w="11906" w:h="16838" w:orient="portrait"/>
      <w:pgMar w:top="2552" w:right="311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7542D" w:rsidP="00A12A35" w:rsidRDefault="00B7542D" w14:paraId="2AF3A9E0" w14:textId="77777777">
      <w:pPr>
        <w:spacing w:after="0" w:line="240" w:lineRule="auto"/>
      </w:pPr>
      <w:r>
        <w:separator/>
      </w:r>
    </w:p>
  </w:endnote>
  <w:endnote w:type="continuationSeparator" w:id="0">
    <w:p w:rsidR="00B7542D" w:rsidP="00A12A35" w:rsidRDefault="00B7542D" w14:paraId="1284042F" w14:textId="77777777">
      <w:pPr>
        <w:spacing w:after="0" w:line="240" w:lineRule="auto"/>
      </w:pPr>
      <w:r>
        <w:continuationSeparator/>
      </w:r>
    </w:p>
  </w:endnote>
  <w:endnote w:type="continuationNotice" w:id="1">
    <w:p w:rsidR="00B7542D" w:rsidRDefault="00B7542D" w14:paraId="5AAA4D94"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Verdana">
    <w:altName w:val="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7542D" w:rsidP="00A12A35" w:rsidRDefault="00B7542D" w14:paraId="1C3700A4" w14:textId="77777777">
      <w:pPr>
        <w:spacing w:after="0" w:line="240" w:lineRule="auto"/>
      </w:pPr>
      <w:r>
        <w:separator/>
      </w:r>
    </w:p>
  </w:footnote>
  <w:footnote w:type="continuationSeparator" w:id="0">
    <w:p w:rsidR="00B7542D" w:rsidP="00A12A35" w:rsidRDefault="00B7542D" w14:paraId="462CA966" w14:textId="77777777">
      <w:pPr>
        <w:spacing w:after="0" w:line="240" w:lineRule="auto"/>
      </w:pPr>
      <w:r>
        <w:continuationSeparator/>
      </w:r>
    </w:p>
  </w:footnote>
  <w:footnote w:type="continuationNotice" w:id="1">
    <w:p w:rsidR="00B7542D" w:rsidRDefault="00B7542D" w14:paraId="4B1B046C"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0BC2" w:rsidRDefault="009C5EA5" w14:paraId="74937725" w14:textId="2C315E16">
    <w:pPr>
      <w:pStyle w:val="Header"/>
    </w:pPr>
    <w:r>
      <w:rPr>
        <w:noProof/>
      </w:rPr>
      <mc:AlternateContent>
        <mc:Choice Requires="wps">
          <w:drawing>
            <wp:anchor distT="0" distB="0" distL="0" distR="0" simplePos="0" relativeHeight="251658242" behindDoc="0" locked="0" layoutInCell="1" allowOverlap="1" wp14:anchorId="7CF33C2B" wp14:editId="3975913E">
              <wp:simplePos x="635" y="635"/>
              <wp:positionH relativeFrom="page">
                <wp:align>left</wp:align>
              </wp:positionH>
              <wp:positionV relativeFrom="page">
                <wp:align>top</wp:align>
              </wp:positionV>
              <wp:extent cx="1056005" cy="357505"/>
              <wp:effectExtent l="0" t="0" r="10795" b="4445"/>
              <wp:wrapNone/>
              <wp:docPr id="997047864" name="Text Box 2"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6005" cy="357505"/>
                      </a:xfrm>
                      <a:prstGeom prst="rect">
                        <a:avLst/>
                      </a:prstGeom>
                      <a:noFill/>
                      <a:ln>
                        <a:noFill/>
                      </a:ln>
                    </wps:spPr>
                    <wps:txbx>
                      <w:txbxContent>
                        <w:p w:rsidRPr="009C5EA5" w:rsidR="009C5EA5" w:rsidP="009C5EA5" w:rsidRDefault="009C5EA5" w14:paraId="4545E50A" w14:textId="25708441">
                          <w:pPr>
                            <w:spacing w:after="0"/>
                            <w:rPr>
                              <w:rFonts w:ascii="Calibri" w:hAnsi="Calibri" w:eastAsia="Calibri" w:cs="Calibri"/>
                              <w:noProof/>
                              <w:color w:val="7FAA39"/>
                              <w:sz w:val="20"/>
                              <w:szCs w:val="20"/>
                            </w:rPr>
                          </w:pPr>
                          <w:r w:rsidRPr="009C5EA5">
                            <w:rPr>
                              <w:rFonts w:ascii="Calibri" w:hAnsi="Calibri" w:eastAsia="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CF33C2B">
              <v:stroke joinstyle="miter"/>
              <v:path gradientshapeok="t" o:connecttype="rect"/>
            </v:shapetype>
            <v:shape id="Text Box 2" style="position:absolute;margin-left:0;margin-top:0;width:83.15pt;height:28.15pt;z-index:251658242;visibility:visible;mso-wrap-style:none;mso-wrap-distance-left:0;mso-wrap-distance-top:0;mso-wrap-distance-right:0;mso-wrap-distance-bottom:0;mso-position-horizontal:left;mso-position-horizontal-relative:page;mso-position-vertical:top;mso-position-vertical-relative:page;v-text-anchor:top" alt="| DNB PUBLIC |"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">
              <v:textbox style="mso-fit-shape-to-text:t" inset="20pt,15pt,0,0">
                <w:txbxContent>
                  <w:p w:rsidRPr="009C5EA5" w:rsidR="009C5EA5" w:rsidP="009C5EA5" w:rsidRDefault="009C5EA5" w14:paraId="4545E50A" w14:textId="25708441">
                    <w:pPr>
                      <w:spacing w:after="0"/>
                      <w:rPr>
                        <w:rFonts w:ascii="Calibri" w:hAnsi="Calibri" w:eastAsia="Calibri" w:cs="Calibri"/>
                        <w:noProof/>
                        <w:color w:val="7FAA39"/>
                        <w:sz w:val="20"/>
                        <w:szCs w:val="20"/>
                      </w:rPr>
                    </w:pPr>
                    <w:r w:rsidRPr="009C5EA5">
                      <w:rPr>
                        <w:rFonts w:ascii="Calibri" w:hAnsi="Calibri" w:eastAsia="Calibri" w:cs="Calibri"/>
                        <w:noProof/>
                        <w:color w:val="7FAA39"/>
                        <w:sz w:val="20"/>
                        <w:szCs w:val="20"/>
                      </w:rPr>
                      <w:t>| DNB PUBLIC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xmlns:pic="http://schemas.openxmlformats.org/drawingml/2006/picture" xmlns:a14="http://schemas.microsoft.com/office/drawing/2010/main" mc:Ignorable="w14 w15 w16se w16cid w16 w16cex w16sdtdh w16sdtfl w16du wp14">
  <w:p w:rsidRPr="00917C5B" w:rsidR="00917C5B" w:rsidP="00917C5B" w:rsidRDefault="009C5EA5" w14:paraId="29803B06" w14:textId="539A714D">
    <w:pPr>
      <w:pStyle w:val="Header"/>
      <w:tabs>
        <w:tab w:val="clear" w:pos="9026"/>
        <w:tab w:val="right" w:pos="7371"/>
      </w:tabs>
      <w:ind w:right="1655"/>
      <w:rPr>
        <w:rFonts w:ascii="Verdana" w:hAnsi="Verdana"/>
        <w:sz w:val="17"/>
        <w:szCs w:val="17"/>
      </w:rPr>
    </w:pPr>
    <w:r>
      <w:rPr>
        <w:rFonts w:ascii="Verdana" w:hAnsi="Verdana"/>
        <w:noProof/>
        <w:sz w:val="17"/>
        <w:szCs w:val="17"/>
      </w:rPr>
      <mc:AlternateContent>
        <mc:Choice Requires="wps">
          <w:drawing>
            <wp:anchor distT="0" distB="0" distL="0" distR="0" simplePos="0" relativeHeight="251658243" behindDoc="0" locked="0" layoutInCell="1" allowOverlap="1" wp14:anchorId="66F97E4C" wp14:editId="0C61AFD1">
              <wp:simplePos x="635" y="635"/>
              <wp:positionH relativeFrom="page">
                <wp:align>left</wp:align>
              </wp:positionH>
              <wp:positionV relativeFrom="page">
                <wp:align>top</wp:align>
              </wp:positionV>
              <wp:extent cx="1056005" cy="357505"/>
              <wp:effectExtent l="0" t="0" r="10795" b="4445"/>
              <wp:wrapNone/>
              <wp:docPr id="1162495444" name="Text Box 3"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6005" cy="357505"/>
                      </a:xfrm>
                      <a:prstGeom prst="rect">
                        <a:avLst/>
                      </a:prstGeom>
                      <a:noFill/>
                      <a:ln>
                        <a:noFill/>
                      </a:ln>
                    </wps:spPr>
                    <wps:txbx>
                      <w:txbxContent>
                        <w:p w:rsidRPr="009C5EA5" w:rsidR="009C5EA5" w:rsidP="009C5EA5" w:rsidRDefault="009C5EA5" w14:paraId="1CAA2482" w14:textId="46475429">
                          <w:pPr>
                            <w:spacing w:after="0"/>
                            <w:rPr>
                              <w:rFonts w:ascii="Calibri" w:hAnsi="Calibri" w:eastAsia="Calibri" w:cs="Calibri"/>
                              <w:noProof/>
                              <w:color w:val="7FAA39"/>
                              <w:sz w:val="20"/>
                              <w:szCs w:val="20"/>
                            </w:rPr>
                          </w:pPr>
                          <w:r w:rsidRPr="009C5EA5">
                            <w:rPr>
                              <w:rFonts w:ascii="Calibri" w:hAnsi="Calibri" w:eastAsia="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66F97E4C">
              <v:stroke joinstyle="miter"/>
              <v:path gradientshapeok="t" o:connecttype="rect"/>
            </v:shapetype>
            <v:shape id="Text Box 3" style="position:absolute;margin-left:0;margin-top:0;width:83.15pt;height:28.15pt;z-index:251658243;visibility:visible;mso-wrap-style:none;mso-wrap-distance-left:0;mso-wrap-distance-top:0;mso-wrap-distance-right:0;mso-wrap-distance-bottom:0;mso-position-horizontal:left;mso-position-horizontal-relative:page;mso-position-vertical:top;mso-position-vertical-relative:page;v-text-anchor:top" alt="| DNB PUBLIC |"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">
              <v:textbox style="mso-fit-shape-to-text:t" inset="20pt,15pt,0,0">
                <w:txbxContent>
                  <w:p w:rsidRPr="009C5EA5" w:rsidR="009C5EA5" w:rsidP="009C5EA5" w:rsidRDefault="009C5EA5" w14:paraId="1CAA2482" w14:textId="46475429">
                    <w:pPr>
                      <w:spacing w:after="0"/>
                      <w:rPr>
                        <w:rFonts w:ascii="Calibri" w:hAnsi="Calibri" w:eastAsia="Calibri" w:cs="Calibri"/>
                        <w:noProof/>
                        <w:color w:val="7FAA39"/>
                        <w:sz w:val="20"/>
                        <w:szCs w:val="20"/>
                      </w:rPr>
                    </w:pPr>
                    <w:r w:rsidRPr="009C5EA5">
                      <w:rPr>
                        <w:rFonts w:ascii="Calibri" w:hAnsi="Calibri" w:eastAsia="Calibri" w:cs="Calibri"/>
                        <w:noProof/>
                        <w:color w:val="7FAA39"/>
                        <w:sz w:val="20"/>
                        <w:szCs w:val="20"/>
                      </w:rPr>
                      <w:t>| DNB PUBLIC |</w:t>
                    </w:r>
                  </w:p>
                </w:txbxContent>
              </v:textbox>
              <w10:wrap anchorx="page" anchory="page"/>
            </v:shape>
          </w:pict>
        </mc:Fallback>
      </mc:AlternateContent>
    </w:r>
    <w:r w:rsidRPr="00917C5B" w:rsidR="00917C5B">
      <w:rPr>
        <w:rFonts w:ascii="Verdana" w:hAnsi="Verdana"/>
        <w:noProof/>
        <w:sz w:val="17"/>
        <w:szCs w:val="17"/>
      </w:rPr>
      <w:drawing>
        <wp:anchor distT="0" distB="0" distL="114300" distR="114300" simplePos="0" relativeHeight="251658240" behindDoc="1" locked="0" layoutInCell="1" allowOverlap="1" wp14:anchorId="20EB7935" wp14:editId="0495A13A">
          <wp:simplePos x="0" y="0"/>
          <wp:positionH relativeFrom="column">
            <wp:posOffset>4927600</wp:posOffset>
          </wp:positionH>
          <wp:positionV relativeFrom="paragraph">
            <wp:posOffset>469265</wp:posOffset>
          </wp:positionV>
          <wp:extent cx="1375410" cy="444500"/>
          <wp:effectExtent l="0" t="0" r="0" b="0"/>
          <wp:wrapTight wrapText="bothSides">
            <wp:wrapPolygon edited="0">
              <wp:start x="0" y="0"/>
              <wp:lineTo x="0" y="20366"/>
              <wp:lineTo x="21241" y="20366"/>
              <wp:lineTo x="21241" y="0"/>
              <wp:lineTo x="0" y="0"/>
            </wp:wrapPolygon>
          </wp:wrapTight>
          <wp:docPr id="23" name="Afbeelding 23" descr="Afbeelding met tek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fbeelding 7" descr="Afbeelding met tekst&#10;&#10;Automatisch gegenereerde beschrijving"/>
                  <pic:cNvPicPr/>
                </pic:nvPicPr>
                <pic:blipFill rotWithShape="1">
                  <a:blip r:embed="rId1">
                    <a:extLst>
                      <a:ext uri="{28A0092B-C50C-407E-A947-70E740481C1C}">
                        <a14:useLocalDpi xmlns:a14="http://schemas.microsoft.com/office/drawing/2010/main" val="0"/>
                      </a:ext>
                    </a:extLst>
                  </a:blip>
                  <a:srcRect/>
                  <a:stretch/>
                </pic:blipFill>
                <pic:spPr>
                  <a:xfrm>
                    <a:off x="0" y="0"/>
                    <a:ext cx="1375410" cy="4445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clsh="http://schemas.microsoft.com/office/drawing/2020/classificationShape" mc:Ignorable="w14 w15 w16se w16cid w16 w16cex w16sdtdh w16sdtfl w16du wp14">
  <w:p w:rsidR="00E70BC2" w:rsidRDefault="009C5EA5" w14:paraId="2CD09801" w14:textId="23EA62DE">
    <w:pPr>
      <w:pStyle w:val="Header"/>
    </w:pPr>
    <w:r>
      <w:rPr>
        <w:noProof/>
      </w:rPr>
      <mc:AlternateContent>
        <mc:Choice Requires="wps">
          <w:drawing>
            <wp:anchor distT="0" distB="0" distL="0" distR="0" simplePos="0" relativeHeight="251658241" behindDoc="0" locked="0" layoutInCell="1" allowOverlap="1" wp14:anchorId="71DFAB5F" wp14:editId="7738D394">
              <wp:simplePos x="635" y="635"/>
              <wp:positionH relativeFrom="page">
                <wp:align>left</wp:align>
              </wp:positionH>
              <wp:positionV relativeFrom="page">
                <wp:align>top</wp:align>
              </wp:positionV>
              <wp:extent cx="1056005" cy="357505"/>
              <wp:effectExtent l="0" t="0" r="10795" b="4445"/>
              <wp:wrapNone/>
              <wp:docPr id="2024725172" name="Text Box 1" descr="| DNB PUBLIC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1056005" cy="357505"/>
                      </a:xfrm>
                      <a:prstGeom prst="rect">
                        <a:avLst/>
                      </a:prstGeom>
                      <a:noFill/>
                      <a:ln>
                        <a:noFill/>
                      </a:ln>
                    </wps:spPr>
                    <wps:txbx>
                      <w:txbxContent>
                        <w:p w:rsidRPr="009C5EA5" w:rsidR="009C5EA5" w:rsidP="009C5EA5" w:rsidRDefault="009C5EA5" w14:paraId="1DD14D3B" w14:textId="018C8A6F">
                          <w:pPr>
                            <w:spacing w:after="0"/>
                            <w:rPr>
                              <w:rFonts w:ascii="Calibri" w:hAnsi="Calibri" w:eastAsia="Calibri" w:cs="Calibri"/>
                              <w:noProof/>
                              <w:color w:val="7FAA39"/>
                              <w:sz w:val="20"/>
                              <w:szCs w:val="20"/>
                            </w:rPr>
                          </w:pPr>
                          <w:r w:rsidRPr="009C5EA5">
                            <w:rPr>
                              <w:rFonts w:ascii="Calibri" w:hAnsi="Calibri" w:eastAsia="Calibri" w:cs="Calibri"/>
                              <w:noProof/>
                              <w:color w:val="7FAA39"/>
                              <w:sz w:val="20"/>
                              <w:szCs w:val="20"/>
                            </w:rPr>
                            <w:t>| DNB PUBLIC |</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w14:anchorId="71DFAB5F">
              <v:stroke joinstyle="miter"/>
              <v:path gradientshapeok="t" o:connecttype="rect"/>
            </v:shapetype>
            <v:shape id="Text Box 1" style="position:absolute;margin-left:0;margin-top:0;width:83.15pt;height:28.15pt;z-index:251658241;visibility:visible;mso-wrap-style:none;mso-wrap-distance-left:0;mso-wrap-distance-top:0;mso-wrap-distance-right:0;mso-wrap-distance-bottom:0;mso-position-horizontal:left;mso-position-horizontal-relative:page;mso-position-vertical:top;mso-position-vertical-relative:page;v-text-anchor:top" alt="| DNB PUBLIC |"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">
              <v:textbox style="mso-fit-shape-to-text:t" inset="20pt,15pt,0,0">
                <w:txbxContent>
                  <w:p w:rsidRPr="009C5EA5" w:rsidR="009C5EA5" w:rsidP="009C5EA5" w:rsidRDefault="009C5EA5" w14:paraId="1DD14D3B" w14:textId="018C8A6F">
                    <w:pPr>
                      <w:spacing w:after="0"/>
                      <w:rPr>
                        <w:rFonts w:ascii="Calibri" w:hAnsi="Calibri" w:eastAsia="Calibri" w:cs="Calibri"/>
                        <w:noProof/>
                        <w:color w:val="7FAA39"/>
                        <w:sz w:val="20"/>
                        <w:szCs w:val="20"/>
                      </w:rPr>
                    </w:pPr>
                    <w:r w:rsidRPr="009C5EA5">
                      <w:rPr>
                        <w:rFonts w:ascii="Calibri" w:hAnsi="Calibri" w:eastAsia="Calibri" w:cs="Calibri"/>
                        <w:noProof/>
                        <w:color w:val="7FAA39"/>
                        <w:sz w:val="20"/>
                        <w:szCs w:val="20"/>
                      </w:rPr>
                      <w:t>| DNB PUBLIC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D6FA61"/>
    <w:multiLevelType w:val="hybridMultilevel"/>
    <w:tmpl w:val="EC1EC20E"/>
    <w:lvl w:ilvl="0" w:tplc="4A6C8AC8">
      <w:start w:val="1"/>
      <w:numFmt w:val="bullet"/>
      <w:lvlText w:val=""/>
      <w:lvlJc w:val="left"/>
      <w:pPr>
        <w:ind w:left="720" w:hanging="360"/>
      </w:pPr>
      <w:rPr>
        <w:rFonts w:hint="default" w:ascii="Symbol" w:hAnsi="Symbol"/>
      </w:rPr>
    </w:lvl>
    <w:lvl w:ilvl="1" w:tplc="AB5C7934">
      <w:start w:val="1"/>
      <w:numFmt w:val="bullet"/>
      <w:lvlText w:val="o"/>
      <w:lvlJc w:val="left"/>
      <w:pPr>
        <w:ind w:left="1440" w:hanging="360"/>
      </w:pPr>
      <w:rPr>
        <w:rFonts w:hint="default" w:ascii="Courier New" w:hAnsi="Courier New"/>
      </w:rPr>
    </w:lvl>
    <w:lvl w:ilvl="2" w:tplc="65A048B6">
      <w:start w:val="1"/>
      <w:numFmt w:val="bullet"/>
      <w:lvlText w:val=""/>
      <w:lvlJc w:val="left"/>
      <w:pPr>
        <w:ind w:left="2160" w:hanging="360"/>
      </w:pPr>
      <w:rPr>
        <w:rFonts w:hint="default" w:ascii="Wingdings" w:hAnsi="Wingdings"/>
      </w:rPr>
    </w:lvl>
    <w:lvl w:ilvl="3" w:tplc="CD7832EE">
      <w:start w:val="1"/>
      <w:numFmt w:val="bullet"/>
      <w:lvlText w:val=""/>
      <w:lvlJc w:val="left"/>
      <w:pPr>
        <w:ind w:left="2880" w:hanging="360"/>
      </w:pPr>
      <w:rPr>
        <w:rFonts w:hint="default" w:ascii="Symbol" w:hAnsi="Symbol"/>
      </w:rPr>
    </w:lvl>
    <w:lvl w:ilvl="4" w:tplc="5A90DEBE">
      <w:start w:val="1"/>
      <w:numFmt w:val="bullet"/>
      <w:lvlText w:val="o"/>
      <w:lvlJc w:val="left"/>
      <w:pPr>
        <w:ind w:left="3600" w:hanging="360"/>
      </w:pPr>
      <w:rPr>
        <w:rFonts w:hint="default" w:ascii="Courier New" w:hAnsi="Courier New"/>
      </w:rPr>
    </w:lvl>
    <w:lvl w:ilvl="5" w:tplc="D8363208">
      <w:start w:val="1"/>
      <w:numFmt w:val="bullet"/>
      <w:lvlText w:val=""/>
      <w:lvlJc w:val="left"/>
      <w:pPr>
        <w:ind w:left="4320" w:hanging="360"/>
      </w:pPr>
      <w:rPr>
        <w:rFonts w:hint="default" w:ascii="Wingdings" w:hAnsi="Wingdings"/>
      </w:rPr>
    </w:lvl>
    <w:lvl w:ilvl="6" w:tplc="DBF86402">
      <w:start w:val="1"/>
      <w:numFmt w:val="bullet"/>
      <w:lvlText w:val=""/>
      <w:lvlJc w:val="left"/>
      <w:pPr>
        <w:ind w:left="5040" w:hanging="360"/>
      </w:pPr>
      <w:rPr>
        <w:rFonts w:hint="default" w:ascii="Symbol" w:hAnsi="Symbol"/>
      </w:rPr>
    </w:lvl>
    <w:lvl w:ilvl="7" w:tplc="3030F5E4">
      <w:start w:val="1"/>
      <w:numFmt w:val="bullet"/>
      <w:lvlText w:val="o"/>
      <w:lvlJc w:val="left"/>
      <w:pPr>
        <w:ind w:left="5760" w:hanging="360"/>
      </w:pPr>
      <w:rPr>
        <w:rFonts w:hint="default" w:ascii="Courier New" w:hAnsi="Courier New"/>
      </w:rPr>
    </w:lvl>
    <w:lvl w:ilvl="8" w:tplc="AE4E6B4A">
      <w:start w:val="1"/>
      <w:numFmt w:val="bullet"/>
      <w:lvlText w:val=""/>
      <w:lvlJc w:val="left"/>
      <w:pPr>
        <w:ind w:left="6480" w:hanging="360"/>
      </w:pPr>
      <w:rPr>
        <w:rFonts w:hint="default" w:ascii="Wingdings" w:hAnsi="Wingdings"/>
      </w:rPr>
    </w:lvl>
  </w:abstractNum>
  <w:abstractNum w:abstractNumId="1" w15:restartNumberingAfterBreak="0">
    <w:nsid w:val="366E99A4"/>
    <w:multiLevelType w:val="hybridMultilevel"/>
    <w:tmpl w:val="9EA0CCD2"/>
    <w:lvl w:ilvl="0" w:tplc="1584BF16">
      <w:start w:val="1"/>
      <w:numFmt w:val="bullet"/>
      <w:lvlText w:val=""/>
      <w:lvlJc w:val="left"/>
      <w:pPr>
        <w:ind w:left="720" w:hanging="360"/>
      </w:pPr>
      <w:rPr>
        <w:rFonts w:hint="default" w:ascii="Symbol" w:hAnsi="Symbol"/>
      </w:rPr>
    </w:lvl>
    <w:lvl w:ilvl="1" w:tplc="39329A5E">
      <w:start w:val="1"/>
      <w:numFmt w:val="bullet"/>
      <w:lvlText w:val="o"/>
      <w:lvlJc w:val="left"/>
      <w:pPr>
        <w:ind w:left="1440" w:hanging="360"/>
      </w:pPr>
      <w:rPr>
        <w:rFonts w:hint="default" w:ascii="Courier New" w:hAnsi="Courier New"/>
      </w:rPr>
    </w:lvl>
    <w:lvl w:ilvl="2" w:tplc="A17ECE64">
      <w:start w:val="1"/>
      <w:numFmt w:val="bullet"/>
      <w:lvlText w:val=""/>
      <w:lvlJc w:val="left"/>
      <w:pPr>
        <w:ind w:left="2160" w:hanging="360"/>
      </w:pPr>
      <w:rPr>
        <w:rFonts w:hint="default" w:ascii="Wingdings" w:hAnsi="Wingdings"/>
      </w:rPr>
    </w:lvl>
    <w:lvl w:ilvl="3" w:tplc="4B985534">
      <w:start w:val="1"/>
      <w:numFmt w:val="bullet"/>
      <w:lvlText w:val=""/>
      <w:lvlJc w:val="left"/>
      <w:pPr>
        <w:ind w:left="2880" w:hanging="360"/>
      </w:pPr>
      <w:rPr>
        <w:rFonts w:hint="default" w:ascii="Symbol" w:hAnsi="Symbol"/>
      </w:rPr>
    </w:lvl>
    <w:lvl w:ilvl="4" w:tplc="45704F84">
      <w:start w:val="1"/>
      <w:numFmt w:val="bullet"/>
      <w:lvlText w:val="o"/>
      <w:lvlJc w:val="left"/>
      <w:pPr>
        <w:ind w:left="3600" w:hanging="360"/>
      </w:pPr>
      <w:rPr>
        <w:rFonts w:hint="default" w:ascii="Courier New" w:hAnsi="Courier New"/>
      </w:rPr>
    </w:lvl>
    <w:lvl w:ilvl="5" w:tplc="CCA8F5E4">
      <w:start w:val="1"/>
      <w:numFmt w:val="bullet"/>
      <w:lvlText w:val=""/>
      <w:lvlJc w:val="left"/>
      <w:pPr>
        <w:ind w:left="4320" w:hanging="360"/>
      </w:pPr>
      <w:rPr>
        <w:rFonts w:hint="default" w:ascii="Wingdings" w:hAnsi="Wingdings"/>
      </w:rPr>
    </w:lvl>
    <w:lvl w:ilvl="6" w:tplc="B838C44A">
      <w:start w:val="1"/>
      <w:numFmt w:val="bullet"/>
      <w:lvlText w:val=""/>
      <w:lvlJc w:val="left"/>
      <w:pPr>
        <w:ind w:left="5040" w:hanging="360"/>
      </w:pPr>
      <w:rPr>
        <w:rFonts w:hint="default" w:ascii="Symbol" w:hAnsi="Symbol"/>
      </w:rPr>
    </w:lvl>
    <w:lvl w:ilvl="7" w:tplc="CFE05F10">
      <w:start w:val="1"/>
      <w:numFmt w:val="bullet"/>
      <w:lvlText w:val="o"/>
      <w:lvlJc w:val="left"/>
      <w:pPr>
        <w:ind w:left="5760" w:hanging="360"/>
      </w:pPr>
      <w:rPr>
        <w:rFonts w:hint="default" w:ascii="Courier New" w:hAnsi="Courier New"/>
      </w:rPr>
    </w:lvl>
    <w:lvl w:ilvl="8" w:tplc="61FEB652">
      <w:start w:val="1"/>
      <w:numFmt w:val="bullet"/>
      <w:lvlText w:val=""/>
      <w:lvlJc w:val="left"/>
      <w:pPr>
        <w:ind w:left="6480" w:hanging="360"/>
      </w:pPr>
      <w:rPr>
        <w:rFonts w:hint="default" w:ascii="Wingdings" w:hAnsi="Wingdings"/>
      </w:rPr>
    </w:lvl>
  </w:abstractNum>
  <w:abstractNum w:abstractNumId="2" w15:restartNumberingAfterBreak="0">
    <w:nsid w:val="604296BF"/>
    <w:multiLevelType w:val="hybridMultilevel"/>
    <w:tmpl w:val="FD02CC8A"/>
    <w:lvl w:ilvl="0" w:tplc="55D07014">
      <w:start w:val="1"/>
      <w:numFmt w:val="bullet"/>
      <w:lvlText w:val="·"/>
      <w:lvlJc w:val="left"/>
      <w:pPr>
        <w:ind w:left="720" w:hanging="360"/>
      </w:pPr>
      <w:rPr>
        <w:rFonts w:hint="default" w:ascii="Symbol" w:hAnsi="Symbol"/>
      </w:rPr>
    </w:lvl>
    <w:lvl w:ilvl="1" w:tplc="0EAE8D2A">
      <w:start w:val="1"/>
      <w:numFmt w:val="bullet"/>
      <w:lvlText w:val="o"/>
      <w:lvlJc w:val="left"/>
      <w:pPr>
        <w:ind w:left="1440" w:hanging="360"/>
      </w:pPr>
      <w:rPr>
        <w:rFonts w:hint="default" w:ascii="Courier New" w:hAnsi="Courier New"/>
      </w:rPr>
    </w:lvl>
    <w:lvl w:ilvl="2" w:tplc="F54864AA">
      <w:start w:val="1"/>
      <w:numFmt w:val="bullet"/>
      <w:lvlText w:val=""/>
      <w:lvlJc w:val="left"/>
      <w:pPr>
        <w:ind w:left="2160" w:hanging="360"/>
      </w:pPr>
      <w:rPr>
        <w:rFonts w:hint="default" w:ascii="Wingdings" w:hAnsi="Wingdings"/>
      </w:rPr>
    </w:lvl>
    <w:lvl w:ilvl="3" w:tplc="4A6EE768">
      <w:start w:val="1"/>
      <w:numFmt w:val="bullet"/>
      <w:lvlText w:val=""/>
      <w:lvlJc w:val="left"/>
      <w:pPr>
        <w:ind w:left="2880" w:hanging="360"/>
      </w:pPr>
      <w:rPr>
        <w:rFonts w:hint="default" w:ascii="Symbol" w:hAnsi="Symbol"/>
      </w:rPr>
    </w:lvl>
    <w:lvl w:ilvl="4" w:tplc="1C52D526">
      <w:start w:val="1"/>
      <w:numFmt w:val="bullet"/>
      <w:lvlText w:val="o"/>
      <w:lvlJc w:val="left"/>
      <w:pPr>
        <w:ind w:left="3600" w:hanging="360"/>
      </w:pPr>
      <w:rPr>
        <w:rFonts w:hint="default" w:ascii="Courier New" w:hAnsi="Courier New"/>
      </w:rPr>
    </w:lvl>
    <w:lvl w:ilvl="5" w:tplc="C48CDFB6">
      <w:start w:val="1"/>
      <w:numFmt w:val="bullet"/>
      <w:lvlText w:val=""/>
      <w:lvlJc w:val="left"/>
      <w:pPr>
        <w:ind w:left="4320" w:hanging="360"/>
      </w:pPr>
      <w:rPr>
        <w:rFonts w:hint="default" w:ascii="Wingdings" w:hAnsi="Wingdings"/>
      </w:rPr>
    </w:lvl>
    <w:lvl w:ilvl="6" w:tplc="FBD83468">
      <w:start w:val="1"/>
      <w:numFmt w:val="bullet"/>
      <w:lvlText w:val=""/>
      <w:lvlJc w:val="left"/>
      <w:pPr>
        <w:ind w:left="5040" w:hanging="360"/>
      </w:pPr>
      <w:rPr>
        <w:rFonts w:hint="default" w:ascii="Symbol" w:hAnsi="Symbol"/>
      </w:rPr>
    </w:lvl>
    <w:lvl w:ilvl="7" w:tplc="060653DE">
      <w:start w:val="1"/>
      <w:numFmt w:val="bullet"/>
      <w:lvlText w:val="o"/>
      <w:lvlJc w:val="left"/>
      <w:pPr>
        <w:ind w:left="5760" w:hanging="360"/>
      </w:pPr>
      <w:rPr>
        <w:rFonts w:hint="default" w:ascii="Courier New" w:hAnsi="Courier New"/>
      </w:rPr>
    </w:lvl>
    <w:lvl w:ilvl="8" w:tplc="F40CFA18">
      <w:start w:val="1"/>
      <w:numFmt w:val="bullet"/>
      <w:lvlText w:val=""/>
      <w:lvlJc w:val="left"/>
      <w:pPr>
        <w:ind w:left="6480" w:hanging="360"/>
      </w:pPr>
      <w:rPr>
        <w:rFonts w:hint="default" w:ascii="Wingdings" w:hAnsi="Wingdings"/>
      </w:rPr>
    </w:lvl>
  </w:abstractNum>
  <w:abstractNum w:abstractNumId="3" w15:restartNumberingAfterBreak="0">
    <w:nsid w:val="6E4918C6"/>
    <w:multiLevelType w:val="hybridMultilevel"/>
    <w:tmpl w:val="46BE55C8"/>
    <w:lvl w:ilvl="0" w:tplc="6220BF8A">
      <w:start w:val="1"/>
      <w:numFmt w:val="bullet"/>
      <w:lvlText w:val=""/>
      <w:lvlJc w:val="left"/>
      <w:pPr>
        <w:ind w:left="720" w:hanging="360"/>
      </w:pPr>
      <w:rPr>
        <w:rFonts w:hint="default" w:ascii="Symbol" w:hAnsi="Symbol"/>
      </w:rPr>
    </w:lvl>
    <w:lvl w:ilvl="1" w:tplc="B1C0C5D4">
      <w:start w:val="1"/>
      <w:numFmt w:val="bullet"/>
      <w:lvlText w:val="o"/>
      <w:lvlJc w:val="left"/>
      <w:pPr>
        <w:ind w:left="1440" w:hanging="360"/>
      </w:pPr>
      <w:rPr>
        <w:rFonts w:hint="default" w:ascii="Courier New" w:hAnsi="Courier New"/>
      </w:rPr>
    </w:lvl>
    <w:lvl w:ilvl="2" w:tplc="DF10F534">
      <w:start w:val="1"/>
      <w:numFmt w:val="bullet"/>
      <w:lvlText w:val=""/>
      <w:lvlJc w:val="left"/>
      <w:pPr>
        <w:ind w:left="2160" w:hanging="360"/>
      </w:pPr>
      <w:rPr>
        <w:rFonts w:hint="default" w:ascii="Wingdings" w:hAnsi="Wingdings"/>
      </w:rPr>
    </w:lvl>
    <w:lvl w:ilvl="3" w:tplc="50F67752">
      <w:start w:val="1"/>
      <w:numFmt w:val="bullet"/>
      <w:lvlText w:val=""/>
      <w:lvlJc w:val="left"/>
      <w:pPr>
        <w:ind w:left="2880" w:hanging="360"/>
      </w:pPr>
      <w:rPr>
        <w:rFonts w:hint="default" w:ascii="Symbol" w:hAnsi="Symbol"/>
      </w:rPr>
    </w:lvl>
    <w:lvl w:ilvl="4" w:tplc="23B2CB6E">
      <w:start w:val="1"/>
      <w:numFmt w:val="bullet"/>
      <w:lvlText w:val="o"/>
      <w:lvlJc w:val="left"/>
      <w:pPr>
        <w:ind w:left="3600" w:hanging="360"/>
      </w:pPr>
      <w:rPr>
        <w:rFonts w:hint="default" w:ascii="Courier New" w:hAnsi="Courier New"/>
      </w:rPr>
    </w:lvl>
    <w:lvl w:ilvl="5" w:tplc="DBF4B9EE">
      <w:start w:val="1"/>
      <w:numFmt w:val="bullet"/>
      <w:lvlText w:val=""/>
      <w:lvlJc w:val="left"/>
      <w:pPr>
        <w:ind w:left="4320" w:hanging="360"/>
      </w:pPr>
      <w:rPr>
        <w:rFonts w:hint="default" w:ascii="Wingdings" w:hAnsi="Wingdings"/>
      </w:rPr>
    </w:lvl>
    <w:lvl w:ilvl="6" w:tplc="6F0690C8">
      <w:start w:val="1"/>
      <w:numFmt w:val="bullet"/>
      <w:lvlText w:val=""/>
      <w:lvlJc w:val="left"/>
      <w:pPr>
        <w:ind w:left="5040" w:hanging="360"/>
      </w:pPr>
      <w:rPr>
        <w:rFonts w:hint="default" w:ascii="Symbol" w:hAnsi="Symbol"/>
      </w:rPr>
    </w:lvl>
    <w:lvl w:ilvl="7" w:tplc="CA769124">
      <w:start w:val="1"/>
      <w:numFmt w:val="bullet"/>
      <w:lvlText w:val="o"/>
      <w:lvlJc w:val="left"/>
      <w:pPr>
        <w:ind w:left="5760" w:hanging="360"/>
      </w:pPr>
      <w:rPr>
        <w:rFonts w:hint="default" w:ascii="Courier New" w:hAnsi="Courier New"/>
      </w:rPr>
    </w:lvl>
    <w:lvl w:ilvl="8" w:tplc="ABE064B6">
      <w:start w:val="1"/>
      <w:numFmt w:val="bullet"/>
      <w:lvlText w:val=""/>
      <w:lvlJc w:val="left"/>
      <w:pPr>
        <w:ind w:left="6480" w:hanging="360"/>
      </w:pPr>
      <w:rPr>
        <w:rFonts w:hint="default" w:ascii="Wingdings" w:hAnsi="Wingdings"/>
      </w:rPr>
    </w:lvl>
  </w:abstractNum>
  <w:abstractNum w:abstractNumId="4" w15:restartNumberingAfterBreak="0">
    <w:nsid w:val="7E9A2A95"/>
    <w:multiLevelType w:val="hybridMultilevel"/>
    <w:tmpl w:val="FBEE5D44"/>
    <w:lvl w:ilvl="0" w:tplc="842E6C12">
      <w:start w:val="1"/>
      <w:numFmt w:val="bullet"/>
      <w:lvlText w:val="·"/>
      <w:lvlJc w:val="left"/>
      <w:pPr>
        <w:ind w:left="720" w:hanging="360"/>
      </w:pPr>
      <w:rPr>
        <w:rFonts w:hint="default" w:ascii="Symbol" w:hAnsi="Symbol"/>
      </w:rPr>
    </w:lvl>
    <w:lvl w:ilvl="1" w:tplc="4C3047FA">
      <w:start w:val="1"/>
      <w:numFmt w:val="bullet"/>
      <w:lvlText w:val="o"/>
      <w:lvlJc w:val="left"/>
      <w:pPr>
        <w:ind w:left="1440" w:hanging="360"/>
      </w:pPr>
      <w:rPr>
        <w:rFonts w:hint="default" w:ascii="Courier New" w:hAnsi="Courier New"/>
      </w:rPr>
    </w:lvl>
    <w:lvl w:ilvl="2" w:tplc="A4CCA9A4">
      <w:start w:val="1"/>
      <w:numFmt w:val="bullet"/>
      <w:lvlText w:val=""/>
      <w:lvlJc w:val="left"/>
      <w:pPr>
        <w:ind w:left="2160" w:hanging="360"/>
      </w:pPr>
      <w:rPr>
        <w:rFonts w:hint="default" w:ascii="Wingdings" w:hAnsi="Wingdings"/>
      </w:rPr>
    </w:lvl>
    <w:lvl w:ilvl="3" w:tplc="7BB0B1A8">
      <w:start w:val="1"/>
      <w:numFmt w:val="bullet"/>
      <w:lvlText w:val=""/>
      <w:lvlJc w:val="left"/>
      <w:pPr>
        <w:ind w:left="2880" w:hanging="360"/>
      </w:pPr>
      <w:rPr>
        <w:rFonts w:hint="default" w:ascii="Symbol" w:hAnsi="Symbol"/>
      </w:rPr>
    </w:lvl>
    <w:lvl w:ilvl="4" w:tplc="FF6A508C">
      <w:start w:val="1"/>
      <w:numFmt w:val="bullet"/>
      <w:lvlText w:val="o"/>
      <w:lvlJc w:val="left"/>
      <w:pPr>
        <w:ind w:left="3600" w:hanging="360"/>
      </w:pPr>
      <w:rPr>
        <w:rFonts w:hint="default" w:ascii="Courier New" w:hAnsi="Courier New"/>
      </w:rPr>
    </w:lvl>
    <w:lvl w:ilvl="5" w:tplc="6FE8781E">
      <w:start w:val="1"/>
      <w:numFmt w:val="bullet"/>
      <w:lvlText w:val=""/>
      <w:lvlJc w:val="left"/>
      <w:pPr>
        <w:ind w:left="4320" w:hanging="360"/>
      </w:pPr>
      <w:rPr>
        <w:rFonts w:hint="default" w:ascii="Wingdings" w:hAnsi="Wingdings"/>
      </w:rPr>
    </w:lvl>
    <w:lvl w:ilvl="6" w:tplc="7E867E6E">
      <w:start w:val="1"/>
      <w:numFmt w:val="bullet"/>
      <w:lvlText w:val=""/>
      <w:lvlJc w:val="left"/>
      <w:pPr>
        <w:ind w:left="5040" w:hanging="360"/>
      </w:pPr>
      <w:rPr>
        <w:rFonts w:hint="default" w:ascii="Symbol" w:hAnsi="Symbol"/>
      </w:rPr>
    </w:lvl>
    <w:lvl w:ilvl="7" w:tplc="DCB45EF8">
      <w:start w:val="1"/>
      <w:numFmt w:val="bullet"/>
      <w:lvlText w:val="o"/>
      <w:lvlJc w:val="left"/>
      <w:pPr>
        <w:ind w:left="5760" w:hanging="360"/>
      </w:pPr>
      <w:rPr>
        <w:rFonts w:hint="default" w:ascii="Courier New" w:hAnsi="Courier New"/>
      </w:rPr>
    </w:lvl>
    <w:lvl w:ilvl="8" w:tplc="C5586230">
      <w:start w:val="1"/>
      <w:numFmt w:val="bullet"/>
      <w:lvlText w:val=""/>
      <w:lvlJc w:val="left"/>
      <w:pPr>
        <w:ind w:left="6480" w:hanging="360"/>
      </w:pPr>
      <w:rPr>
        <w:rFonts w:hint="default" w:ascii="Wingdings" w:hAnsi="Wingdings"/>
      </w:rPr>
    </w:lvl>
  </w:abstractNum>
  <w:num w:numId="1" w16cid:durableId="352655525">
    <w:abstractNumId w:val="0"/>
  </w:num>
  <w:num w:numId="2" w16cid:durableId="1200245648">
    <w:abstractNumId w:val="1"/>
  </w:num>
  <w:num w:numId="3" w16cid:durableId="945967664">
    <w:abstractNumId w:val="2"/>
  </w:num>
  <w:num w:numId="4" w16cid:durableId="1878465259">
    <w:abstractNumId w:val="4"/>
  </w:num>
  <w:num w:numId="5" w16cid:durableId="145570843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trackRevisions w:val="fals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780"/>
    <w:rsid w:val="00002860"/>
    <w:rsid w:val="00011A57"/>
    <w:rsid w:val="0002640F"/>
    <w:rsid w:val="00047966"/>
    <w:rsid w:val="00062953"/>
    <w:rsid w:val="00081A89"/>
    <w:rsid w:val="00084389"/>
    <w:rsid w:val="0009661D"/>
    <w:rsid w:val="00096D98"/>
    <w:rsid w:val="000D15BF"/>
    <w:rsid w:val="000E64FB"/>
    <w:rsid w:val="000F70F1"/>
    <w:rsid w:val="000F7C13"/>
    <w:rsid w:val="00101D6A"/>
    <w:rsid w:val="001048D0"/>
    <w:rsid w:val="001101EA"/>
    <w:rsid w:val="00114295"/>
    <w:rsid w:val="00127E6F"/>
    <w:rsid w:val="00132A63"/>
    <w:rsid w:val="00145BD3"/>
    <w:rsid w:val="00147ED8"/>
    <w:rsid w:val="00153DA3"/>
    <w:rsid w:val="001579EA"/>
    <w:rsid w:val="00163265"/>
    <w:rsid w:val="0016540E"/>
    <w:rsid w:val="0016D424"/>
    <w:rsid w:val="0017453D"/>
    <w:rsid w:val="001816D3"/>
    <w:rsid w:val="00182986"/>
    <w:rsid w:val="00192E03"/>
    <w:rsid w:val="00193791"/>
    <w:rsid w:val="0019400A"/>
    <w:rsid w:val="001C4CA5"/>
    <w:rsid w:val="001E6DBA"/>
    <w:rsid w:val="0020095B"/>
    <w:rsid w:val="0022219E"/>
    <w:rsid w:val="0026031C"/>
    <w:rsid w:val="00275154"/>
    <w:rsid w:val="00281709"/>
    <w:rsid w:val="00285963"/>
    <w:rsid w:val="002B2B0C"/>
    <w:rsid w:val="002B7E79"/>
    <w:rsid w:val="002D471C"/>
    <w:rsid w:val="002D504B"/>
    <w:rsid w:val="0031120D"/>
    <w:rsid w:val="00315A2D"/>
    <w:rsid w:val="00320626"/>
    <w:rsid w:val="00322226"/>
    <w:rsid w:val="00327F4B"/>
    <w:rsid w:val="00333B07"/>
    <w:rsid w:val="00342D8F"/>
    <w:rsid w:val="00343BCE"/>
    <w:rsid w:val="00360C36"/>
    <w:rsid w:val="0037447A"/>
    <w:rsid w:val="00381C37"/>
    <w:rsid w:val="003C4768"/>
    <w:rsid w:val="003C4EC5"/>
    <w:rsid w:val="003E0A5B"/>
    <w:rsid w:val="00405B03"/>
    <w:rsid w:val="0041446C"/>
    <w:rsid w:val="00440744"/>
    <w:rsid w:val="004420F8"/>
    <w:rsid w:val="004719F2"/>
    <w:rsid w:val="00486540"/>
    <w:rsid w:val="004879F6"/>
    <w:rsid w:val="00494B61"/>
    <w:rsid w:val="004A0F42"/>
    <w:rsid w:val="004B4477"/>
    <w:rsid w:val="004D3890"/>
    <w:rsid w:val="004D6C35"/>
    <w:rsid w:val="004D6DC3"/>
    <w:rsid w:val="004F065F"/>
    <w:rsid w:val="004F1484"/>
    <w:rsid w:val="005313D4"/>
    <w:rsid w:val="00574882"/>
    <w:rsid w:val="00575FCF"/>
    <w:rsid w:val="005A11A5"/>
    <w:rsid w:val="005A78D0"/>
    <w:rsid w:val="005E0519"/>
    <w:rsid w:val="005E40C3"/>
    <w:rsid w:val="005E571A"/>
    <w:rsid w:val="005F6D78"/>
    <w:rsid w:val="00622780"/>
    <w:rsid w:val="006260D2"/>
    <w:rsid w:val="006269AE"/>
    <w:rsid w:val="00641FAF"/>
    <w:rsid w:val="00646182"/>
    <w:rsid w:val="0065665D"/>
    <w:rsid w:val="006615C8"/>
    <w:rsid w:val="0066223C"/>
    <w:rsid w:val="00665F6A"/>
    <w:rsid w:val="00674D29"/>
    <w:rsid w:val="00674E0A"/>
    <w:rsid w:val="00676D25"/>
    <w:rsid w:val="00696CD9"/>
    <w:rsid w:val="006973EF"/>
    <w:rsid w:val="006A3641"/>
    <w:rsid w:val="006B1351"/>
    <w:rsid w:val="006B2856"/>
    <w:rsid w:val="006C0215"/>
    <w:rsid w:val="006D757A"/>
    <w:rsid w:val="006F61A5"/>
    <w:rsid w:val="006F6FE0"/>
    <w:rsid w:val="007207E7"/>
    <w:rsid w:val="00722645"/>
    <w:rsid w:val="007235AF"/>
    <w:rsid w:val="007535DE"/>
    <w:rsid w:val="00753805"/>
    <w:rsid w:val="007612BA"/>
    <w:rsid w:val="007626DF"/>
    <w:rsid w:val="00770AEC"/>
    <w:rsid w:val="00775A38"/>
    <w:rsid w:val="00776FAC"/>
    <w:rsid w:val="007B29DC"/>
    <w:rsid w:val="007C1674"/>
    <w:rsid w:val="007C2076"/>
    <w:rsid w:val="007D28FB"/>
    <w:rsid w:val="007E4EEC"/>
    <w:rsid w:val="00806ABC"/>
    <w:rsid w:val="00823A47"/>
    <w:rsid w:val="00824E6E"/>
    <w:rsid w:val="00831934"/>
    <w:rsid w:val="00834AA6"/>
    <w:rsid w:val="00837DA2"/>
    <w:rsid w:val="008409D6"/>
    <w:rsid w:val="00856988"/>
    <w:rsid w:val="00893E02"/>
    <w:rsid w:val="008B04EA"/>
    <w:rsid w:val="008B2C38"/>
    <w:rsid w:val="008F5CFB"/>
    <w:rsid w:val="009023CE"/>
    <w:rsid w:val="009122D7"/>
    <w:rsid w:val="00917C5B"/>
    <w:rsid w:val="00940027"/>
    <w:rsid w:val="00962614"/>
    <w:rsid w:val="00975629"/>
    <w:rsid w:val="00981399"/>
    <w:rsid w:val="009B7106"/>
    <w:rsid w:val="009C5EA5"/>
    <w:rsid w:val="009D7348"/>
    <w:rsid w:val="009E5AE1"/>
    <w:rsid w:val="009F5237"/>
    <w:rsid w:val="00A12A35"/>
    <w:rsid w:val="00A21754"/>
    <w:rsid w:val="00A31D89"/>
    <w:rsid w:val="00A54562"/>
    <w:rsid w:val="00A736F5"/>
    <w:rsid w:val="00A76412"/>
    <w:rsid w:val="00A76AAF"/>
    <w:rsid w:val="00A83CAB"/>
    <w:rsid w:val="00A86215"/>
    <w:rsid w:val="00AA5DAC"/>
    <w:rsid w:val="00AD7AF2"/>
    <w:rsid w:val="00AF4EDA"/>
    <w:rsid w:val="00B01345"/>
    <w:rsid w:val="00B4100C"/>
    <w:rsid w:val="00B44AA0"/>
    <w:rsid w:val="00B7542D"/>
    <w:rsid w:val="00B8654D"/>
    <w:rsid w:val="00B9218F"/>
    <w:rsid w:val="00B97800"/>
    <w:rsid w:val="00BB5B61"/>
    <w:rsid w:val="00BC2F0F"/>
    <w:rsid w:val="00BE5406"/>
    <w:rsid w:val="00BF2378"/>
    <w:rsid w:val="00BF4E7F"/>
    <w:rsid w:val="00BF5054"/>
    <w:rsid w:val="00C1570B"/>
    <w:rsid w:val="00C234D5"/>
    <w:rsid w:val="00C41D4E"/>
    <w:rsid w:val="00C439FB"/>
    <w:rsid w:val="00C500D8"/>
    <w:rsid w:val="00C5301A"/>
    <w:rsid w:val="00C70B4F"/>
    <w:rsid w:val="00C70F99"/>
    <w:rsid w:val="00C84D18"/>
    <w:rsid w:val="00C84DB4"/>
    <w:rsid w:val="00C8676B"/>
    <w:rsid w:val="00C93E05"/>
    <w:rsid w:val="00CA4768"/>
    <w:rsid w:val="00CC2230"/>
    <w:rsid w:val="00CD39AB"/>
    <w:rsid w:val="00CD6628"/>
    <w:rsid w:val="00CE04AE"/>
    <w:rsid w:val="00D10138"/>
    <w:rsid w:val="00D104D3"/>
    <w:rsid w:val="00D13414"/>
    <w:rsid w:val="00D267A9"/>
    <w:rsid w:val="00D42887"/>
    <w:rsid w:val="00D4CED3"/>
    <w:rsid w:val="00D514DB"/>
    <w:rsid w:val="00D53C78"/>
    <w:rsid w:val="00D63A6E"/>
    <w:rsid w:val="00D81CB2"/>
    <w:rsid w:val="00D97C3E"/>
    <w:rsid w:val="00DA7627"/>
    <w:rsid w:val="00DB0A9F"/>
    <w:rsid w:val="00DC474D"/>
    <w:rsid w:val="00DC4BF8"/>
    <w:rsid w:val="00DF3091"/>
    <w:rsid w:val="00DF454C"/>
    <w:rsid w:val="00E00B18"/>
    <w:rsid w:val="00E24BF3"/>
    <w:rsid w:val="00E33D36"/>
    <w:rsid w:val="00E34FB6"/>
    <w:rsid w:val="00E3662E"/>
    <w:rsid w:val="00E3706D"/>
    <w:rsid w:val="00E427F6"/>
    <w:rsid w:val="00E51315"/>
    <w:rsid w:val="00E70BC2"/>
    <w:rsid w:val="00E8398E"/>
    <w:rsid w:val="00EA16CD"/>
    <w:rsid w:val="00EB44B6"/>
    <w:rsid w:val="00ED25CC"/>
    <w:rsid w:val="00EF2FCC"/>
    <w:rsid w:val="00F31800"/>
    <w:rsid w:val="00F3242F"/>
    <w:rsid w:val="00F4130B"/>
    <w:rsid w:val="00F44836"/>
    <w:rsid w:val="00F45F77"/>
    <w:rsid w:val="00F679A9"/>
    <w:rsid w:val="00F7045C"/>
    <w:rsid w:val="00F76E33"/>
    <w:rsid w:val="00F83211"/>
    <w:rsid w:val="00F85B35"/>
    <w:rsid w:val="00F9530A"/>
    <w:rsid w:val="00F96369"/>
    <w:rsid w:val="00FB4850"/>
    <w:rsid w:val="00FC30C3"/>
    <w:rsid w:val="00FF10CC"/>
    <w:rsid w:val="0276260C"/>
    <w:rsid w:val="028CF9B9"/>
    <w:rsid w:val="0467B29C"/>
    <w:rsid w:val="04F3AE56"/>
    <w:rsid w:val="0569D14F"/>
    <w:rsid w:val="06DD0455"/>
    <w:rsid w:val="07853A7B"/>
    <w:rsid w:val="0A6F1023"/>
    <w:rsid w:val="0A8A3FCE"/>
    <w:rsid w:val="0AC672F5"/>
    <w:rsid w:val="0D39A00F"/>
    <w:rsid w:val="0F0FA484"/>
    <w:rsid w:val="0F6B510E"/>
    <w:rsid w:val="0FDA8676"/>
    <w:rsid w:val="131287A2"/>
    <w:rsid w:val="170D2517"/>
    <w:rsid w:val="17FD28B3"/>
    <w:rsid w:val="187C2591"/>
    <w:rsid w:val="19F6AF7A"/>
    <w:rsid w:val="19FB38BE"/>
    <w:rsid w:val="1E18BE0E"/>
    <w:rsid w:val="1FCD770C"/>
    <w:rsid w:val="24448D97"/>
    <w:rsid w:val="265CB0AB"/>
    <w:rsid w:val="268C2A50"/>
    <w:rsid w:val="2772A3D3"/>
    <w:rsid w:val="2A29BDB4"/>
    <w:rsid w:val="2ADD0D6B"/>
    <w:rsid w:val="2B1CD41E"/>
    <w:rsid w:val="2E6BD857"/>
    <w:rsid w:val="2E8A9DC0"/>
    <w:rsid w:val="318CD3F4"/>
    <w:rsid w:val="328CFFE4"/>
    <w:rsid w:val="34ED4AC1"/>
    <w:rsid w:val="3531C86C"/>
    <w:rsid w:val="36A4FD9E"/>
    <w:rsid w:val="3B17E26B"/>
    <w:rsid w:val="3CD4E19A"/>
    <w:rsid w:val="3D7E0314"/>
    <w:rsid w:val="3F4F5C52"/>
    <w:rsid w:val="4109689C"/>
    <w:rsid w:val="426D257C"/>
    <w:rsid w:val="42995D2F"/>
    <w:rsid w:val="43FBAD5E"/>
    <w:rsid w:val="446AC1FD"/>
    <w:rsid w:val="460CE879"/>
    <w:rsid w:val="4705B46D"/>
    <w:rsid w:val="4A07542E"/>
    <w:rsid w:val="4B0BAAB9"/>
    <w:rsid w:val="4B6DF610"/>
    <w:rsid w:val="4D63EFDE"/>
    <w:rsid w:val="4D975A04"/>
    <w:rsid w:val="4DEAE2B2"/>
    <w:rsid w:val="4E2AE50F"/>
    <w:rsid w:val="4EC5799F"/>
    <w:rsid w:val="4F4FE5DA"/>
    <w:rsid w:val="51B61EE8"/>
    <w:rsid w:val="52371B8E"/>
    <w:rsid w:val="5583E3CD"/>
    <w:rsid w:val="55A81259"/>
    <w:rsid w:val="56D37F7D"/>
    <w:rsid w:val="56FC946F"/>
    <w:rsid w:val="57ACE063"/>
    <w:rsid w:val="5FC126E4"/>
    <w:rsid w:val="60C3DA6B"/>
    <w:rsid w:val="6120C891"/>
    <w:rsid w:val="61FA4B7A"/>
    <w:rsid w:val="63D8A787"/>
    <w:rsid w:val="64D5C068"/>
    <w:rsid w:val="65D1A26E"/>
    <w:rsid w:val="661DBB3A"/>
    <w:rsid w:val="66D284B9"/>
    <w:rsid w:val="676ADBFF"/>
    <w:rsid w:val="6D1673B2"/>
    <w:rsid w:val="6E03EE68"/>
    <w:rsid w:val="70BA22D6"/>
    <w:rsid w:val="71251707"/>
    <w:rsid w:val="74FA245C"/>
    <w:rsid w:val="759DD496"/>
    <w:rsid w:val="7BA51442"/>
    <w:rsid w:val="7D656205"/>
    <w:rsid w:val="7E3467A9"/>
    <w:rsid w:val="7E412BF9"/>
    <w:rsid w:val="7FF1A407"/>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CFACC4"/>
  <w15:chartTrackingRefBased/>
  <w15:docId w15:val="{FCF8B948-DB82-4006-9017-8D67B6B0E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917C5B"/>
    <w:pPr>
      <w:tabs>
        <w:tab w:val="center" w:pos="4513"/>
        <w:tab w:val="right" w:pos="9026"/>
      </w:tabs>
      <w:spacing w:after="0" w:line="240" w:lineRule="auto"/>
    </w:pPr>
  </w:style>
  <w:style w:type="character" w:styleId="HeaderChar" w:customStyle="1">
    <w:name w:val="Header Char"/>
    <w:basedOn w:val="DefaultParagraphFont"/>
    <w:link w:val="Header"/>
    <w:uiPriority w:val="99"/>
    <w:rsid w:val="00917C5B"/>
  </w:style>
  <w:style w:type="paragraph" w:styleId="Footer">
    <w:name w:val="footer"/>
    <w:basedOn w:val="Normal"/>
    <w:link w:val="FooterChar"/>
    <w:uiPriority w:val="99"/>
    <w:unhideWhenUsed/>
    <w:rsid w:val="00917C5B"/>
    <w:pPr>
      <w:tabs>
        <w:tab w:val="center" w:pos="4513"/>
        <w:tab w:val="right" w:pos="9026"/>
      </w:tabs>
      <w:spacing w:after="0" w:line="240" w:lineRule="auto"/>
    </w:pPr>
  </w:style>
  <w:style w:type="character" w:styleId="FooterChar" w:customStyle="1">
    <w:name w:val="Footer Char"/>
    <w:basedOn w:val="DefaultParagraphFont"/>
    <w:link w:val="Footer"/>
    <w:uiPriority w:val="99"/>
    <w:rsid w:val="00917C5B"/>
  </w:style>
  <w:style w:type="table" w:styleId="TableGrid">
    <w:name w:val="Table Grid"/>
    <w:basedOn w:val="TableNormal"/>
    <w:uiPriority w:val="39"/>
    <w:rsid w:val="0062278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GridTable1Light-Accent1">
    <w:name w:val="Grid Table 1 Light Accent 1"/>
    <w:basedOn w:val="TableNormal"/>
    <w:uiPriority w:val="46"/>
    <w:rsid w:val="003C4EC5"/>
    <w:pPr>
      <w:spacing w:after="0" w:line="240" w:lineRule="auto"/>
    </w:pPr>
    <w:tblPr>
      <w:tblStyleRowBandSize w:val="1"/>
      <w:tblStyleColBandSize w:val="1"/>
      <w:tblBorders>
        <w:top w:val="single" w:color="B4C6E7" w:themeColor="accent1" w:themeTint="66" w:sz="4" w:space="0"/>
        <w:left w:val="single" w:color="B4C6E7" w:themeColor="accent1" w:themeTint="66" w:sz="4" w:space="0"/>
        <w:bottom w:val="single" w:color="B4C6E7" w:themeColor="accent1" w:themeTint="66" w:sz="4" w:space="0"/>
        <w:right w:val="single" w:color="B4C6E7" w:themeColor="accent1" w:themeTint="66" w:sz="4" w:space="0"/>
        <w:insideH w:val="single" w:color="B4C6E7" w:themeColor="accent1" w:themeTint="66" w:sz="4" w:space="0"/>
        <w:insideV w:val="single" w:color="B4C6E7" w:themeColor="accent1" w:themeTint="66" w:sz="4" w:space="0"/>
      </w:tblBorders>
    </w:tblPr>
    <w:tblStylePr w:type="firstRow">
      <w:rPr>
        <w:b/>
        <w:bCs/>
      </w:rPr>
      <w:tblPr/>
      <w:tcPr>
        <w:tcBorders>
          <w:bottom w:val="single" w:color="8EAADB" w:themeColor="accent1" w:themeTint="99" w:sz="12" w:space="0"/>
        </w:tcBorders>
      </w:tcPr>
    </w:tblStylePr>
    <w:tblStylePr w:type="lastRow">
      <w:rPr>
        <w:b/>
        <w:bCs/>
      </w:rPr>
      <w:tblPr/>
      <w:tcPr>
        <w:tcBorders>
          <w:top w:val="double" w:color="8EAADB" w:themeColor="accent1" w:themeTint="99" w:sz="2" w:space="0"/>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C4EC5"/>
    <w:pPr>
      <w:spacing w:after="0" w:line="240" w:lineRule="auto"/>
    </w:pPr>
    <w:tblPr>
      <w:tblStyleRowBandSize w:val="1"/>
      <w:tblStyleColBandSize w:val="1"/>
      <w:tblBorders>
        <w:top w:val="single" w:color="BDD6EE" w:themeColor="accent5" w:themeTint="66" w:sz="4" w:space="0"/>
        <w:left w:val="single" w:color="BDD6EE" w:themeColor="accent5" w:themeTint="66" w:sz="4" w:space="0"/>
        <w:bottom w:val="single" w:color="BDD6EE" w:themeColor="accent5" w:themeTint="66" w:sz="4" w:space="0"/>
        <w:right w:val="single" w:color="BDD6EE" w:themeColor="accent5" w:themeTint="66" w:sz="4" w:space="0"/>
        <w:insideH w:val="single" w:color="BDD6EE" w:themeColor="accent5" w:themeTint="66" w:sz="4" w:space="0"/>
        <w:insideV w:val="single" w:color="BDD6EE" w:themeColor="accent5" w:themeTint="66" w:sz="4" w:space="0"/>
      </w:tblBorders>
    </w:tblPr>
    <w:tblStylePr w:type="firstRow">
      <w:rPr>
        <w:b/>
        <w:bCs/>
      </w:rPr>
      <w:tblPr/>
      <w:tcPr>
        <w:tcBorders>
          <w:bottom w:val="single" w:color="9CC2E5" w:themeColor="accent5" w:themeTint="99" w:sz="12" w:space="0"/>
        </w:tcBorders>
      </w:tcPr>
    </w:tblStylePr>
    <w:tblStylePr w:type="lastRow">
      <w:rPr>
        <w:b/>
        <w:bCs/>
      </w:rPr>
      <w:tblPr/>
      <w:tcPr>
        <w:tcBorders>
          <w:top w:val="double" w:color="9CC2E5" w:themeColor="accent5" w:themeTint="99" w:sz="2" w:space="0"/>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3C4EC5"/>
    <w:pPr>
      <w:spacing w:after="0" w:line="240" w:lineRule="auto"/>
    </w:pPr>
    <w:tblPr>
      <w:tblStyleRowBandSize w:val="1"/>
      <w:tblStyleColBandSize w:val="1"/>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b/>
        <w:bCs/>
        <w:color w:val="FFFFFF" w:themeColor="background1"/>
      </w:rPr>
      <w:tblPr/>
      <w:tcPr>
        <w:shd w:val="clear" w:color="auto" w:fill="4472C4" w:themeFill="accent1"/>
      </w:tcPr>
    </w:tblStylePr>
    <w:tblStylePr w:type="lastRow">
      <w:rPr>
        <w:b/>
        <w:bCs/>
      </w:rPr>
      <w:tblPr/>
      <w:tcPr>
        <w:tcBorders>
          <w:top w:val="double" w:color="4472C4" w:themeColor="accent1" w:sz="4" w:space="0"/>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color="4472C4" w:themeColor="accent1" w:sz="4" w:space="0"/>
          <w:right w:val="single" w:color="4472C4" w:themeColor="accent1" w:sz="4" w:space="0"/>
        </w:tcBorders>
      </w:tcPr>
    </w:tblStylePr>
    <w:tblStylePr w:type="band1Horz">
      <w:tblPr/>
      <w:tcPr>
        <w:tcBorders>
          <w:top w:val="single" w:color="4472C4" w:themeColor="accent1" w:sz="4" w:space="0"/>
          <w:bottom w:val="single" w:color="4472C4" w:themeColor="accent1" w:sz="4" w:space="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color="4472C4" w:themeColor="accent1" w:sz="4" w:space="0"/>
          <w:left w:val="nil"/>
        </w:tcBorders>
      </w:tcPr>
    </w:tblStylePr>
    <w:tblStylePr w:type="swCell">
      <w:tblPr/>
      <w:tcPr>
        <w:tcBorders>
          <w:top w:val="double" w:color="4472C4" w:themeColor="accent1" w:sz="4" w:space="0"/>
          <w:right w:val="nil"/>
        </w:tcBorders>
      </w:tcPr>
    </w:tblStylePr>
  </w:style>
  <w:style w:type="table" w:styleId="ListTable1Light-Accent1">
    <w:name w:val="List Table 1 Light Accent 1"/>
    <w:basedOn w:val="TableNormal"/>
    <w:uiPriority w:val="46"/>
    <w:rsid w:val="003C4EC5"/>
    <w:pPr>
      <w:spacing w:after="0" w:line="240" w:lineRule="auto"/>
    </w:pPr>
    <w:tblPr>
      <w:tblStyleRowBandSize w:val="1"/>
      <w:tblStyleColBandSize w:val="1"/>
    </w:tblPr>
    <w:tblStylePr w:type="firstRow">
      <w:rPr>
        <w:b/>
        <w:bCs/>
      </w:rPr>
      <w:tblPr/>
      <w:tcPr>
        <w:tcBorders>
          <w:bottom w:val="single" w:color="8EAADB" w:themeColor="accent1" w:themeTint="99" w:sz="4" w:space="0"/>
        </w:tcBorders>
      </w:tcPr>
    </w:tblStylePr>
    <w:tblStylePr w:type="lastRow">
      <w:rPr>
        <w:b/>
        <w:bCs/>
      </w:rPr>
      <w:tblPr/>
      <w:tcPr>
        <w:tcBorders>
          <w:top w:val="single" w:color="8EAADB" w:themeColor="accent1" w:themeTint="99" w:sz="4" w:space="0"/>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ListParagraph">
    <w:name w:val="List Paragraph"/>
    <w:basedOn w:val="Normal"/>
    <w:uiPriority w:val="34"/>
    <w:qFormat/>
    <w:rsid w:val="268C2A50"/>
    <w:pPr>
      <w:ind w:left="720"/>
      <w:contextualSpacing/>
    </w:pPr>
  </w:style>
  <w:style w:type="character" w:styleId="Hyperlink">
    <w:name w:val="Hyperlink"/>
    <w:basedOn w:val="DefaultParagraphFont"/>
    <w:uiPriority w:val="99"/>
    <w:unhideWhenUsed/>
    <w:rPr>
      <w:color w:val="0563C1" w:themeColor="hyperlink"/>
      <w:u w:val="single"/>
    </w:rPr>
  </w:style>
  <w:style w:type="character" w:styleId="UnresolvedMention">
    <w:name w:val="Unresolved Mention"/>
    <w:basedOn w:val="DefaultParagraphFont"/>
    <w:uiPriority w:val="99"/>
    <w:semiHidden/>
    <w:unhideWhenUsed/>
    <w:rsid w:val="00AA5DAC"/>
    <w:rPr>
      <w:color w:val="605E5C"/>
      <w:shd w:val="clear" w:color="auto" w:fill="E1DFDD"/>
    </w:rPr>
  </w:style>
  <w:style w:type="character" w:styleId="FollowedHyperlink">
    <w:name w:val="FollowedHyperlink"/>
    <w:basedOn w:val="DefaultParagraphFont"/>
    <w:uiPriority w:val="99"/>
    <w:semiHidden/>
    <w:unhideWhenUsed/>
    <w:rsid w:val="00DA762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473777">
      <w:bodyDiv w:val="1"/>
      <w:marLeft w:val="0"/>
      <w:marRight w:val="0"/>
      <w:marTop w:val="0"/>
      <w:marBottom w:val="0"/>
      <w:divBdr>
        <w:top w:val="none" w:sz="0" w:space="0" w:color="auto"/>
        <w:left w:val="none" w:sz="0" w:space="0" w:color="auto"/>
        <w:bottom w:val="none" w:sz="0" w:space="0" w:color="auto"/>
        <w:right w:val="none" w:sz="0" w:space="0" w:color="auto"/>
      </w:divBdr>
    </w:div>
    <w:div w:id="247807897">
      <w:bodyDiv w:val="1"/>
      <w:marLeft w:val="0"/>
      <w:marRight w:val="0"/>
      <w:marTop w:val="0"/>
      <w:marBottom w:val="0"/>
      <w:divBdr>
        <w:top w:val="none" w:sz="0" w:space="0" w:color="auto"/>
        <w:left w:val="none" w:sz="0" w:space="0" w:color="auto"/>
        <w:bottom w:val="none" w:sz="0" w:space="0" w:color="auto"/>
        <w:right w:val="none" w:sz="0" w:space="0" w:color="auto"/>
      </w:divBdr>
    </w:div>
    <w:div w:id="307517660">
      <w:bodyDiv w:val="1"/>
      <w:marLeft w:val="0"/>
      <w:marRight w:val="0"/>
      <w:marTop w:val="0"/>
      <w:marBottom w:val="0"/>
      <w:divBdr>
        <w:top w:val="none" w:sz="0" w:space="0" w:color="auto"/>
        <w:left w:val="none" w:sz="0" w:space="0" w:color="auto"/>
        <w:bottom w:val="none" w:sz="0" w:space="0" w:color="auto"/>
        <w:right w:val="none" w:sz="0" w:space="0" w:color="auto"/>
      </w:divBdr>
    </w:div>
    <w:div w:id="626591999">
      <w:bodyDiv w:val="1"/>
      <w:marLeft w:val="0"/>
      <w:marRight w:val="0"/>
      <w:marTop w:val="0"/>
      <w:marBottom w:val="0"/>
      <w:divBdr>
        <w:top w:val="none" w:sz="0" w:space="0" w:color="auto"/>
        <w:left w:val="none" w:sz="0" w:space="0" w:color="auto"/>
        <w:bottom w:val="none" w:sz="0" w:space="0" w:color="auto"/>
        <w:right w:val="none" w:sz="0" w:space="0" w:color="auto"/>
      </w:divBdr>
    </w:div>
    <w:div w:id="681779734">
      <w:bodyDiv w:val="1"/>
      <w:marLeft w:val="0"/>
      <w:marRight w:val="0"/>
      <w:marTop w:val="0"/>
      <w:marBottom w:val="0"/>
      <w:divBdr>
        <w:top w:val="none" w:sz="0" w:space="0" w:color="auto"/>
        <w:left w:val="none" w:sz="0" w:space="0" w:color="auto"/>
        <w:bottom w:val="none" w:sz="0" w:space="0" w:color="auto"/>
        <w:right w:val="none" w:sz="0" w:space="0" w:color="auto"/>
      </w:divBdr>
    </w:div>
    <w:div w:id="744567685">
      <w:bodyDiv w:val="1"/>
      <w:marLeft w:val="0"/>
      <w:marRight w:val="0"/>
      <w:marTop w:val="0"/>
      <w:marBottom w:val="0"/>
      <w:divBdr>
        <w:top w:val="none" w:sz="0" w:space="0" w:color="auto"/>
        <w:left w:val="none" w:sz="0" w:space="0" w:color="auto"/>
        <w:bottom w:val="none" w:sz="0" w:space="0" w:color="auto"/>
        <w:right w:val="none" w:sz="0" w:space="0" w:color="auto"/>
      </w:divBdr>
    </w:div>
    <w:div w:id="861668242">
      <w:bodyDiv w:val="1"/>
      <w:marLeft w:val="0"/>
      <w:marRight w:val="0"/>
      <w:marTop w:val="0"/>
      <w:marBottom w:val="0"/>
      <w:divBdr>
        <w:top w:val="none" w:sz="0" w:space="0" w:color="auto"/>
        <w:left w:val="none" w:sz="0" w:space="0" w:color="auto"/>
        <w:bottom w:val="none" w:sz="0" w:space="0" w:color="auto"/>
        <w:right w:val="none" w:sz="0" w:space="0" w:color="auto"/>
      </w:divBdr>
    </w:div>
    <w:div w:id="1559588492">
      <w:bodyDiv w:val="1"/>
      <w:marLeft w:val="0"/>
      <w:marRight w:val="0"/>
      <w:marTop w:val="0"/>
      <w:marBottom w:val="0"/>
      <w:divBdr>
        <w:top w:val="none" w:sz="0" w:space="0" w:color="auto"/>
        <w:left w:val="none" w:sz="0" w:space="0" w:color="auto"/>
        <w:bottom w:val="none" w:sz="0" w:space="0" w:color="auto"/>
        <w:right w:val="none" w:sz="0" w:space="0" w:color="auto"/>
      </w:divBdr>
    </w:div>
    <w:div w:id="1846820052">
      <w:bodyDiv w:val="1"/>
      <w:marLeft w:val="0"/>
      <w:marRight w:val="0"/>
      <w:marTop w:val="0"/>
      <w:marBottom w:val="0"/>
      <w:divBdr>
        <w:top w:val="none" w:sz="0" w:space="0" w:color="auto"/>
        <w:left w:val="none" w:sz="0" w:space="0" w:color="auto"/>
        <w:bottom w:val="none" w:sz="0" w:space="0" w:color="auto"/>
        <w:right w:val="none" w:sz="0" w:space="0" w:color="auto"/>
      </w:divBdr>
    </w:div>
    <w:div w:id="1939871830">
      <w:bodyDiv w:val="1"/>
      <w:marLeft w:val="0"/>
      <w:marRight w:val="0"/>
      <w:marTop w:val="0"/>
      <w:marBottom w:val="0"/>
      <w:divBdr>
        <w:top w:val="none" w:sz="0" w:space="0" w:color="auto"/>
        <w:left w:val="none" w:sz="0" w:space="0" w:color="auto"/>
        <w:bottom w:val="none" w:sz="0" w:space="0" w:color="auto"/>
        <w:right w:val="none" w:sz="0" w:space="0" w:color="auto"/>
      </w:divBdr>
    </w:div>
    <w:div w:id="2000226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https://www.eiopa.europa.eu/publications/opinion-20232024-reassessment-nat-cat-standard-formula_en" TargetMode="External" Id="rId13" /><Relationship Type="http://schemas.openxmlformats.org/officeDocument/2006/relationships/header" Target="header3.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dnb.nl/media/2rcpgfc2/2023-2024-reassessment-exercise-of-natcat-risks-zonal-calibration_all.xlsx" TargetMode="External" Id="rId12" /><Relationship Type="http://schemas.openxmlformats.org/officeDocument/2006/relationships/header" Target="header2.xml" Id="rId17" /><Relationship Type="http://schemas.openxmlformats.org/officeDocument/2006/relationships/customXml" Target="../customXml/item2.xml" Id="rId2" /><Relationship Type="http://schemas.openxmlformats.org/officeDocument/2006/relationships/header" Target="header1.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dnb.nl/login/dienst-rapportages/toezichtrapportages/verzekeraars/" TargetMode="External" Id="rId11" /><Relationship Type="http://schemas.openxmlformats.org/officeDocument/2006/relationships/styles" Target="styles.xml" Id="rId5" /><Relationship Type="http://schemas.openxmlformats.org/officeDocument/2006/relationships/image" Target="cid:image007.png@01DB974A.8D3AD9E0" TargetMode="External" Id="rId15" /><Relationship Type="http://schemas.openxmlformats.org/officeDocument/2006/relationships/image" Target="media/image1.gif" Id="rId10" /><Relationship Type="http://schemas.openxmlformats.org/officeDocument/2006/relationships/fontTable" Target="fontTable.xml" Id="rId19"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image" Target="media/image2.png" Id="rId14" /></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C6540\AppData\Local\Temp\Templafy\WordVsto\mnin2q1b.dotx"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TemplafyFormConfiguration><![CDATA[{"formFields":[],"formDataEntries":[]}]]></TemplafyFormConfiguration>
</file>

<file path=customXml/item2.xml><?xml version="1.0" encoding="utf-8"?>
<TemplafyTemplateConfiguration><![CDATA[{"elementsMetadata":[],"transformationConfigurations":[],"templateName":"Leeg DNB Sjabloon","templateDescription":"","enableDocumentContentUpdater":true,"version":"2.0"}]]></TemplafyTemplateConfiguration>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B2BC0-CCF2-4ACC-A35C-89D3622BE4EA}">
  <ds:schemaRefs/>
</ds:datastoreItem>
</file>

<file path=customXml/itemProps2.xml><?xml version="1.0" encoding="utf-8"?>
<ds:datastoreItem xmlns:ds="http://schemas.openxmlformats.org/officeDocument/2006/customXml" ds:itemID="{9998D087-B712-4025-89BE-4BBFF1CB43FD}">
  <ds:schemaRefs/>
</ds:datastoreItem>
</file>

<file path=customXml/itemProps3.xml><?xml version="1.0" encoding="utf-8"?>
<ds:datastoreItem xmlns:ds="http://schemas.openxmlformats.org/officeDocument/2006/customXml" ds:itemID="{5B4A8C76-B2A6-4138-BA19-218DB941174D}">
  <ds:schemaRefs>
    <ds:schemaRef ds:uri="http://schemas.openxmlformats.org/officeDocument/2006/bibliography"/>
  </ds:schemaRefs>
</ds:datastoreItem>
</file>

<file path=docMetadata/LabelInfo.xml><?xml version="1.0" encoding="utf-8"?>
<clbl:labelList xmlns:clbl="http://schemas.microsoft.com/office/2020/mipLabelMetadata">
  <clbl:label id="{1ddf9560-f40a-4faa-b693-65e98d55b544}" enabled="1" method="Privileged" siteId="{9ecbd628-0072-405d-8567-32c6750b0d3e}" removed="0"/>
</clbl:labelList>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mnin2q1b</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Bonte, G.W.J. (Gerwen) (TV_ECKA)</dc:creator>
  <keywords/>
  <dc:description/>
  <lastModifiedBy>Bakker, L.P. (Lammert) (TV_ECKA)</lastModifiedBy>
  <revision>3</revision>
  <lastPrinted>2025-02-13T11:29:00.0000000Z</lastPrinted>
  <dcterms:created xsi:type="dcterms:W3CDTF">2025-03-31T09:11:00.0000000Z</dcterms:created>
  <dcterms:modified xsi:type="dcterms:W3CDTF">2025-03-31T09:23:32.4576634Z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enantId">
    <vt:lpwstr>dnb</vt:lpwstr>
  </property>
  <property fmtid="{D5CDD505-2E9C-101B-9397-08002B2CF9AE}" pid="3" name="TemplafyTemplateId">
    <vt:lpwstr>637902860015518764</vt:lpwstr>
  </property>
  <property fmtid="{D5CDD505-2E9C-101B-9397-08002B2CF9AE}" pid="4" name="TemplafyUserProfileId">
    <vt:lpwstr>859894466954920276</vt:lpwstr>
  </property>
  <property fmtid="{D5CDD505-2E9C-101B-9397-08002B2CF9AE}" pid="5" name="TemplafyFromBlank">
    <vt:bool>true</vt:bool>
  </property>
  <property fmtid="{D5CDD505-2E9C-101B-9397-08002B2CF9AE}" pid="6" name="ClassificationContentMarkingHeaderShapeIds">
    <vt:lpwstr>78aedab4,3b6dbe38,454a45d4</vt:lpwstr>
  </property>
  <property fmtid="{D5CDD505-2E9C-101B-9397-08002B2CF9AE}" pid="7" name="ClassificationContentMarkingHeaderFontProps">
    <vt:lpwstr>#7faa39,10,Calibri</vt:lpwstr>
  </property>
  <property fmtid="{D5CDD505-2E9C-101B-9397-08002B2CF9AE}" pid="8" name="ClassificationContentMarkingHeaderText">
    <vt:lpwstr>| DNB PUBLIC |</vt:lpwstr>
  </property>
</Properties>
</file>